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01252" w14:textId="03DE934D" w:rsidR="00242DB2" w:rsidRPr="00F21E8E" w:rsidRDefault="00097E00" w:rsidP="00242DB2">
      <w:pPr>
        <w:rPr>
          <w:b/>
          <w:bCs/>
          <w:color w:val="FF0000"/>
          <w:sz w:val="56"/>
          <w:szCs w:val="56"/>
        </w:rPr>
      </w:pPr>
      <w:r w:rsidRPr="00F21E8E">
        <w:rPr>
          <w:noProof/>
          <w:color w:val="FF0000"/>
          <w:sz w:val="144"/>
          <w:szCs w:val="144"/>
        </w:rPr>
        <mc:AlternateContent>
          <mc:Choice Requires="wps">
            <w:drawing>
              <wp:anchor distT="0" distB="0" distL="114300" distR="114300" simplePos="0" relativeHeight="251659264" behindDoc="0" locked="0" layoutInCell="1" allowOverlap="1" wp14:anchorId="4C348F34" wp14:editId="4BD8181D">
                <wp:simplePos x="0" y="0"/>
                <wp:positionH relativeFrom="margin">
                  <wp:align>right</wp:align>
                </wp:positionH>
                <wp:positionV relativeFrom="paragraph">
                  <wp:posOffset>-600075</wp:posOffset>
                </wp:positionV>
                <wp:extent cx="3343275" cy="1571625"/>
                <wp:effectExtent l="0" t="0" r="9525" b="9525"/>
                <wp:wrapNone/>
                <wp:docPr id="1926726512" name="Cuadro de texto 2"/>
                <wp:cNvGraphicFramePr/>
                <a:graphic xmlns:a="http://schemas.openxmlformats.org/drawingml/2006/main">
                  <a:graphicData uri="http://schemas.microsoft.com/office/word/2010/wordprocessingShape">
                    <wps:wsp>
                      <wps:cNvSpPr txBox="1"/>
                      <wps:spPr>
                        <a:xfrm>
                          <a:off x="0" y="0"/>
                          <a:ext cx="3343275" cy="1571625"/>
                        </a:xfrm>
                        <a:prstGeom prst="rect">
                          <a:avLst/>
                        </a:prstGeom>
                        <a:solidFill>
                          <a:srgbClr val="FFFF00"/>
                        </a:solidFill>
                        <a:ln w="6350">
                          <a:noFill/>
                        </a:ln>
                      </wps:spPr>
                      <wps:txbx>
                        <w:txbxContent>
                          <w:p w14:paraId="0DC553C9" w14:textId="6FAC62FC" w:rsidR="00812377" w:rsidRDefault="00812377" w:rsidP="00E568D7">
                            <w:pPr>
                              <w:spacing w:after="0" w:line="200" w:lineRule="atLeast"/>
                              <w:rPr>
                                <w:b/>
                                <w:bCs/>
                                <w:sz w:val="44"/>
                                <w:szCs w:val="44"/>
                              </w:rPr>
                            </w:pPr>
                            <w:r w:rsidRPr="00F21E8E">
                              <w:rPr>
                                <w:rFonts w:ascii="Rockwell" w:hAnsi="Rockwell"/>
                                <w:b/>
                                <w:bCs/>
                                <w:sz w:val="72"/>
                                <w:szCs w:val="72"/>
                              </w:rPr>
                              <w:t>SEMINARIO</w:t>
                            </w:r>
                          </w:p>
                          <w:p w14:paraId="662BF572" w14:textId="77777777" w:rsidR="00812377" w:rsidRPr="00E568D7" w:rsidRDefault="00812377" w:rsidP="00E568D7">
                            <w:pPr>
                              <w:spacing w:after="0" w:line="200" w:lineRule="atLeast"/>
                              <w:rPr>
                                <w:b/>
                                <w:bCs/>
                                <w:sz w:val="46"/>
                                <w:szCs w:val="46"/>
                              </w:rPr>
                            </w:pPr>
                            <w:r w:rsidRPr="00E568D7">
                              <w:rPr>
                                <w:b/>
                                <w:bCs/>
                                <w:sz w:val="46"/>
                                <w:szCs w:val="46"/>
                              </w:rPr>
                              <w:t>I N T E R N A C I O N A L</w:t>
                            </w:r>
                          </w:p>
                          <w:p w14:paraId="3F7415CB" w14:textId="77777777" w:rsidR="00812377" w:rsidRPr="00EE1129" w:rsidRDefault="00812377" w:rsidP="00E568D7">
                            <w:pPr>
                              <w:spacing w:after="0" w:line="200" w:lineRule="atLeast"/>
                              <w:rPr>
                                <w:rFonts w:ascii="Arial Narrow" w:hAnsi="Arial Narrow"/>
                                <w:b/>
                                <w:bCs/>
                                <w:color w:val="0070C0"/>
                                <w:sz w:val="27"/>
                                <w:szCs w:val="27"/>
                              </w:rPr>
                            </w:pPr>
                            <w:r w:rsidRPr="00EE1129">
                              <w:rPr>
                                <w:rFonts w:ascii="Arial Narrow" w:hAnsi="Arial Narrow"/>
                                <w:b/>
                                <w:bCs/>
                                <w:color w:val="0070C0"/>
                                <w:sz w:val="27"/>
                                <w:szCs w:val="27"/>
                              </w:rPr>
                              <w:t>LOS PARTIDOS Y UNA NUEVA SOCIEDAD</w:t>
                            </w:r>
                          </w:p>
                          <w:p w14:paraId="6374DE7E" w14:textId="77777777" w:rsidR="00812377" w:rsidRPr="00F21E8E" w:rsidRDefault="00812377" w:rsidP="00E568D7">
                            <w:pPr>
                              <w:spacing w:after="0" w:line="200" w:lineRule="atLeast"/>
                              <w:rPr>
                                <w:rFonts w:ascii="Arial Narrow" w:hAnsi="Arial Narrow"/>
                                <w:b/>
                                <w:bCs/>
                              </w:rPr>
                            </w:pPr>
                            <w:r w:rsidRPr="00F21E8E">
                              <w:rPr>
                                <w:rFonts w:ascii="Arial Narrow" w:hAnsi="Arial Narrow"/>
                                <w:b/>
                                <w:bCs/>
                              </w:rPr>
                              <w:t>Ciudad de México, 26, 27 y 28 de setiembre del 2024</w:t>
                            </w:r>
                          </w:p>
                          <w:p w14:paraId="59BE5643" w14:textId="15886822" w:rsidR="00812377" w:rsidRPr="00F21E8E" w:rsidRDefault="00812377" w:rsidP="00812377">
                            <w:pPr>
                              <w:spacing w:after="0" w:line="240" w:lineRule="auto"/>
                              <w:rPr>
                                <w:rFonts w:ascii="Rockwell" w:hAnsi="Rockwell"/>
                                <w:sz w:val="72"/>
                                <w:szCs w:val="72"/>
                              </w:rPr>
                            </w:pPr>
                            <w:r w:rsidRPr="00812377">
                              <w:rPr>
                                <w:rFonts w:ascii="Rockwell" w:hAnsi="Rockwell"/>
                                <w:b/>
                                <w:bCs/>
                                <w:sz w:val="72"/>
                                <w:szCs w:val="72"/>
                              </w:rPr>
                              <w:t xml:space="preserve"> </w:t>
                            </w:r>
                          </w:p>
                          <w:p w14:paraId="59446B29" w14:textId="76001C08" w:rsidR="00242DB2" w:rsidRPr="00F21E8E" w:rsidRDefault="00242DB2">
                            <w:pPr>
                              <w:rPr>
                                <w:rFonts w:ascii="Arial Narrow" w:hAnsi="Arial Narrow"/>
                                <w:b/>
                                <w:bCs/>
                                <w:sz w:val="200"/>
                                <w:szCs w:val="2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48F34" id="_x0000_t202" coordsize="21600,21600" o:spt="202" path="m,l,21600r21600,l21600,xe">
                <v:stroke joinstyle="miter"/>
                <v:path gradientshapeok="t" o:connecttype="rect"/>
              </v:shapetype>
              <v:shape id="Cuadro de texto 2" o:spid="_x0000_s1026" type="#_x0000_t202" style="position:absolute;margin-left:212.05pt;margin-top:-47.25pt;width:263.25pt;height:12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" fillcolor="yellow" stroked="f" strokeweight=".5pt">
                <v:textbox>
                  <w:txbxContent>
                    <w:p w14:paraId="0DC553C9" w14:textId="6FAC62FC" w:rsidR="00812377" w:rsidRDefault="00812377" w:rsidP="00E568D7">
                      <w:pPr>
                        <w:spacing w:after="0" w:line="200" w:lineRule="atLeast"/>
                        <w:rPr>
                          <w:b/>
                          <w:bCs/>
                          <w:sz w:val="44"/>
                          <w:szCs w:val="44"/>
                        </w:rPr>
                      </w:pPr>
                      <w:r w:rsidRPr="00F21E8E">
                        <w:rPr>
                          <w:rFonts w:ascii="Rockwell" w:hAnsi="Rockwell"/>
                          <w:b/>
                          <w:bCs/>
                          <w:sz w:val="72"/>
                          <w:szCs w:val="72"/>
                        </w:rPr>
                        <w:t>SEMINARIO</w:t>
                      </w:r>
                    </w:p>
                    <w:p w14:paraId="662BF572" w14:textId="77777777" w:rsidR="00812377" w:rsidRPr="00E568D7" w:rsidRDefault="00812377" w:rsidP="00E568D7">
                      <w:pPr>
                        <w:spacing w:after="0" w:line="200" w:lineRule="atLeast"/>
                        <w:rPr>
                          <w:b/>
                          <w:bCs/>
                          <w:sz w:val="46"/>
                          <w:szCs w:val="46"/>
                        </w:rPr>
                      </w:pPr>
                      <w:r w:rsidRPr="00E568D7">
                        <w:rPr>
                          <w:b/>
                          <w:bCs/>
                          <w:sz w:val="46"/>
                          <w:szCs w:val="46"/>
                        </w:rPr>
                        <w:t>I N T E R N A C I O N A L</w:t>
                      </w:r>
                    </w:p>
                    <w:p w14:paraId="3F7415CB" w14:textId="77777777" w:rsidR="00812377" w:rsidRPr="00EE1129" w:rsidRDefault="00812377" w:rsidP="00E568D7">
                      <w:pPr>
                        <w:spacing w:after="0" w:line="200" w:lineRule="atLeast"/>
                        <w:rPr>
                          <w:rFonts w:ascii="Arial Narrow" w:hAnsi="Arial Narrow"/>
                          <w:b/>
                          <w:bCs/>
                          <w:color w:val="0070C0"/>
                          <w:sz w:val="27"/>
                          <w:szCs w:val="27"/>
                        </w:rPr>
                      </w:pPr>
                      <w:r w:rsidRPr="00EE1129">
                        <w:rPr>
                          <w:rFonts w:ascii="Arial Narrow" w:hAnsi="Arial Narrow"/>
                          <w:b/>
                          <w:bCs/>
                          <w:color w:val="0070C0"/>
                          <w:sz w:val="27"/>
                          <w:szCs w:val="27"/>
                        </w:rPr>
                        <w:t>LOS PARTIDOS Y UNA NUEVA SOCIEDAD</w:t>
                      </w:r>
                    </w:p>
                    <w:p w14:paraId="6374DE7E" w14:textId="77777777" w:rsidR="00812377" w:rsidRPr="00F21E8E" w:rsidRDefault="00812377" w:rsidP="00E568D7">
                      <w:pPr>
                        <w:spacing w:after="0" w:line="200" w:lineRule="atLeast"/>
                        <w:rPr>
                          <w:rFonts w:ascii="Arial Narrow" w:hAnsi="Arial Narrow"/>
                          <w:b/>
                          <w:bCs/>
                        </w:rPr>
                      </w:pPr>
                      <w:r w:rsidRPr="00F21E8E">
                        <w:rPr>
                          <w:rFonts w:ascii="Arial Narrow" w:hAnsi="Arial Narrow"/>
                          <w:b/>
                          <w:bCs/>
                        </w:rPr>
                        <w:t>Ciudad de México, 26, 27 y 28 de setiembre del 2024</w:t>
                      </w:r>
                    </w:p>
                    <w:p w14:paraId="59BE5643" w14:textId="15886822" w:rsidR="00812377" w:rsidRPr="00F21E8E" w:rsidRDefault="00812377" w:rsidP="00812377">
                      <w:pPr>
                        <w:spacing w:after="0" w:line="240" w:lineRule="auto"/>
                        <w:rPr>
                          <w:rFonts w:ascii="Rockwell" w:hAnsi="Rockwell"/>
                          <w:sz w:val="72"/>
                          <w:szCs w:val="72"/>
                        </w:rPr>
                      </w:pPr>
                      <w:r w:rsidRPr="00812377">
                        <w:rPr>
                          <w:rFonts w:ascii="Rockwell" w:hAnsi="Rockwell"/>
                          <w:b/>
                          <w:bCs/>
                          <w:sz w:val="72"/>
                          <w:szCs w:val="72"/>
                        </w:rPr>
                        <w:t xml:space="preserve"> </w:t>
                      </w:r>
                    </w:p>
                    <w:p w14:paraId="59446B29" w14:textId="76001C08" w:rsidR="00242DB2" w:rsidRPr="00F21E8E" w:rsidRDefault="00242DB2">
                      <w:pPr>
                        <w:rPr>
                          <w:rFonts w:ascii="Arial Narrow" w:hAnsi="Arial Narrow"/>
                          <w:b/>
                          <w:bCs/>
                          <w:sz w:val="200"/>
                          <w:szCs w:val="200"/>
                        </w:rPr>
                      </w:pPr>
                    </w:p>
                  </w:txbxContent>
                </v:textbox>
                <w10:wrap anchorx="margin"/>
              </v:shape>
            </w:pict>
          </mc:Fallback>
        </mc:AlternateContent>
      </w:r>
      <w:r w:rsidRPr="00F21E8E">
        <w:rPr>
          <w:noProof/>
          <w:color w:val="FF0000"/>
          <w:sz w:val="144"/>
          <w:szCs w:val="144"/>
        </w:rPr>
        <mc:AlternateContent>
          <mc:Choice Requires="wps">
            <w:drawing>
              <wp:anchor distT="0" distB="0" distL="114300" distR="114300" simplePos="0" relativeHeight="251661312" behindDoc="0" locked="0" layoutInCell="1" allowOverlap="1" wp14:anchorId="2A724CC8" wp14:editId="49185D07">
                <wp:simplePos x="0" y="0"/>
                <wp:positionH relativeFrom="margin">
                  <wp:align>left</wp:align>
                </wp:positionH>
                <wp:positionV relativeFrom="paragraph">
                  <wp:posOffset>-600075</wp:posOffset>
                </wp:positionV>
                <wp:extent cx="2762250" cy="1571625"/>
                <wp:effectExtent l="0" t="0" r="0" b="9525"/>
                <wp:wrapNone/>
                <wp:docPr id="2070510327" name="Cuadro de texto 2"/>
                <wp:cNvGraphicFramePr/>
                <a:graphic xmlns:a="http://schemas.openxmlformats.org/drawingml/2006/main">
                  <a:graphicData uri="http://schemas.microsoft.com/office/word/2010/wordprocessingShape">
                    <wps:wsp>
                      <wps:cNvSpPr txBox="1"/>
                      <wps:spPr>
                        <a:xfrm>
                          <a:off x="0" y="0"/>
                          <a:ext cx="2762250" cy="1571625"/>
                        </a:xfrm>
                        <a:prstGeom prst="rect">
                          <a:avLst/>
                        </a:prstGeom>
                        <a:solidFill>
                          <a:srgbClr val="FFFF00"/>
                        </a:solidFill>
                        <a:ln w="6350">
                          <a:noFill/>
                        </a:ln>
                      </wps:spPr>
                      <wps:txbx>
                        <w:txbxContent>
                          <w:p w14:paraId="48C15E87" w14:textId="600BBCA1" w:rsidR="00E568D7" w:rsidRPr="00C17CF0" w:rsidRDefault="00E568D7" w:rsidP="00E568D7">
                            <w:pPr>
                              <w:rPr>
                                <w:rFonts w:ascii="Arial Narrow" w:hAnsi="Arial Narrow"/>
                                <w:b/>
                                <w:bCs/>
                                <w:color w:val="0070C0"/>
                                <w:sz w:val="160"/>
                                <w:szCs w:val="160"/>
                              </w:rPr>
                            </w:pPr>
                            <w:r w:rsidRPr="00C17CF0">
                              <w:rPr>
                                <w:rFonts w:ascii="Arial Narrow" w:hAnsi="Arial Narrow"/>
                                <w:b/>
                                <w:bCs/>
                                <w:color w:val="0070C0"/>
                                <w:sz w:val="160"/>
                                <w:szCs w:val="160"/>
                              </w:rPr>
                              <w:t>XXVIII</w:t>
                            </w:r>
                          </w:p>
                          <w:p w14:paraId="3D5444C6" w14:textId="77777777" w:rsidR="00E568D7" w:rsidRPr="00F21E8E" w:rsidRDefault="00E568D7" w:rsidP="00E568D7">
                            <w:pPr>
                              <w:spacing w:after="0" w:line="240" w:lineRule="auto"/>
                              <w:rPr>
                                <w:rFonts w:ascii="Rockwell" w:hAnsi="Rockwell"/>
                                <w:sz w:val="72"/>
                                <w:szCs w:val="72"/>
                              </w:rPr>
                            </w:pPr>
                            <w:r w:rsidRPr="00812377">
                              <w:rPr>
                                <w:rFonts w:ascii="Rockwell" w:hAnsi="Rockwell"/>
                                <w:b/>
                                <w:bCs/>
                                <w:sz w:val="72"/>
                                <w:szCs w:val="72"/>
                              </w:rPr>
                              <w:t xml:space="preserve"> </w:t>
                            </w:r>
                          </w:p>
                          <w:p w14:paraId="64DF30B3" w14:textId="77777777" w:rsidR="00E568D7" w:rsidRPr="00F21E8E" w:rsidRDefault="00E568D7" w:rsidP="00E568D7">
                            <w:pPr>
                              <w:rPr>
                                <w:rFonts w:ascii="Arial Narrow" w:hAnsi="Arial Narrow"/>
                                <w:b/>
                                <w:bCs/>
                                <w:sz w:val="200"/>
                                <w:szCs w:val="2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24CC8" id="_x0000_s1027" type="#_x0000_t202" style="position:absolute;margin-left:0;margin-top:-47.25pt;width:217.5pt;height:123.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" fillcolor="yellow" stroked="f" strokeweight=".5pt">
                <v:textbox>
                  <w:txbxContent>
                    <w:p w14:paraId="48C15E87" w14:textId="600BBCA1" w:rsidR="00E568D7" w:rsidRPr="00C17CF0" w:rsidRDefault="00E568D7" w:rsidP="00E568D7">
                      <w:pPr>
                        <w:rPr>
                          <w:rFonts w:ascii="Arial Narrow" w:hAnsi="Arial Narrow"/>
                          <w:b/>
                          <w:bCs/>
                          <w:color w:val="0070C0"/>
                          <w:sz w:val="160"/>
                          <w:szCs w:val="160"/>
                        </w:rPr>
                      </w:pPr>
                      <w:r w:rsidRPr="00C17CF0">
                        <w:rPr>
                          <w:rFonts w:ascii="Arial Narrow" w:hAnsi="Arial Narrow"/>
                          <w:b/>
                          <w:bCs/>
                          <w:color w:val="0070C0"/>
                          <w:sz w:val="160"/>
                          <w:szCs w:val="160"/>
                        </w:rPr>
                        <w:t>XXVIII</w:t>
                      </w:r>
                    </w:p>
                    <w:p w14:paraId="3D5444C6" w14:textId="77777777" w:rsidR="00E568D7" w:rsidRPr="00F21E8E" w:rsidRDefault="00E568D7" w:rsidP="00E568D7">
                      <w:pPr>
                        <w:spacing w:after="0" w:line="240" w:lineRule="auto"/>
                        <w:rPr>
                          <w:rFonts w:ascii="Rockwell" w:hAnsi="Rockwell"/>
                          <w:sz w:val="72"/>
                          <w:szCs w:val="72"/>
                        </w:rPr>
                      </w:pPr>
                      <w:r w:rsidRPr="00812377">
                        <w:rPr>
                          <w:rFonts w:ascii="Rockwell" w:hAnsi="Rockwell"/>
                          <w:b/>
                          <w:bCs/>
                          <w:sz w:val="72"/>
                          <w:szCs w:val="72"/>
                        </w:rPr>
                        <w:t xml:space="preserve"> </w:t>
                      </w:r>
                    </w:p>
                    <w:p w14:paraId="64DF30B3" w14:textId="77777777" w:rsidR="00E568D7" w:rsidRPr="00F21E8E" w:rsidRDefault="00E568D7" w:rsidP="00E568D7">
                      <w:pPr>
                        <w:rPr>
                          <w:rFonts w:ascii="Arial Narrow" w:hAnsi="Arial Narrow"/>
                          <w:b/>
                          <w:bCs/>
                          <w:sz w:val="200"/>
                          <w:szCs w:val="200"/>
                        </w:rPr>
                      </w:pPr>
                    </w:p>
                  </w:txbxContent>
                </v:textbox>
                <w10:wrap anchorx="margin"/>
              </v:shape>
            </w:pict>
          </mc:Fallback>
        </mc:AlternateContent>
      </w:r>
      <w:r w:rsidR="00242DB2" w:rsidRPr="00F21E8E">
        <w:rPr>
          <w:b/>
          <w:bCs/>
          <w:color w:val="FF0000"/>
          <w:sz w:val="56"/>
          <w:szCs w:val="56"/>
        </w:rPr>
        <w:t xml:space="preserve"> </w:t>
      </w:r>
    </w:p>
    <w:p w14:paraId="142600B6" w14:textId="070ABA1E" w:rsidR="00242DB2" w:rsidRPr="00F21E8E" w:rsidRDefault="00242DB2" w:rsidP="00242DB2">
      <w:pPr>
        <w:rPr>
          <w:b/>
          <w:bCs/>
          <w:color w:val="FF0000"/>
          <w:sz w:val="56"/>
          <w:szCs w:val="56"/>
        </w:rPr>
      </w:pPr>
    </w:p>
    <w:p w14:paraId="65C11D84" w14:textId="18A019A7" w:rsidR="00242DB2" w:rsidRPr="00F21E8E" w:rsidRDefault="0015431C" w:rsidP="00C17CF0">
      <w:pPr>
        <w:rPr>
          <w:rFonts w:ascii="Arial" w:hAnsi="Arial" w:cs="Arial"/>
          <w:b/>
          <w:bCs/>
          <w:highlight w:val="yellow"/>
        </w:rPr>
      </w:pPr>
      <w:r w:rsidRPr="00F21E8E">
        <w:rPr>
          <w:rFonts w:ascii="Arial" w:hAnsi="Arial" w:cs="Arial"/>
          <w:b/>
          <w:bCs/>
          <w:highlight w:val="yellow"/>
        </w:rPr>
        <w:t>TEMA 1. GEOPOLÍTICA y GEOECONOMÍA en un NUEVO ORDEN MUNDIAL en DISPUTA</w:t>
      </w:r>
    </w:p>
    <w:p w14:paraId="3C963548" w14:textId="5B93DBF6" w:rsidR="00242DB2" w:rsidRPr="00EE1129" w:rsidRDefault="00A62DE6" w:rsidP="00C17CF0">
      <w:pPr>
        <w:rPr>
          <w:rFonts w:ascii="Arial" w:hAnsi="Arial" w:cs="Arial"/>
          <w:b/>
          <w:bCs/>
          <w:i/>
          <w:iCs/>
          <w:color w:val="0070C0"/>
          <w:sz w:val="36"/>
          <w:szCs w:val="36"/>
        </w:rPr>
      </w:pPr>
      <w:r w:rsidRPr="00EE1129">
        <w:rPr>
          <w:rFonts w:ascii="Arial" w:hAnsi="Arial" w:cs="Arial"/>
          <w:b/>
          <w:bCs/>
          <w:i/>
          <w:iCs/>
          <w:color w:val="0070C0"/>
          <w:sz w:val="36"/>
          <w:szCs w:val="36"/>
          <w:highlight w:val="yellow"/>
        </w:rPr>
        <w:t xml:space="preserve"> </w:t>
      </w:r>
      <w:r w:rsidR="0015431C" w:rsidRPr="00EE1129">
        <w:rPr>
          <w:rFonts w:ascii="Arial" w:hAnsi="Arial" w:cs="Arial"/>
          <w:b/>
          <w:bCs/>
          <w:i/>
          <w:iCs/>
          <w:color w:val="0070C0"/>
          <w:sz w:val="36"/>
          <w:szCs w:val="36"/>
          <w:highlight w:val="yellow"/>
        </w:rPr>
        <w:t>1.b Migraciones</w:t>
      </w:r>
      <w:r w:rsidR="00242DB2" w:rsidRPr="00EE1129">
        <w:rPr>
          <w:rFonts w:ascii="Arial" w:hAnsi="Arial" w:cs="Arial"/>
          <w:b/>
          <w:bCs/>
          <w:i/>
          <w:iCs/>
          <w:color w:val="0070C0"/>
          <w:sz w:val="36"/>
          <w:szCs w:val="36"/>
          <w:highlight w:val="yellow"/>
        </w:rPr>
        <w:t>, crim</w:t>
      </w:r>
      <w:r w:rsidR="0015431C" w:rsidRPr="00EE1129">
        <w:rPr>
          <w:rFonts w:ascii="Arial" w:hAnsi="Arial" w:cs="Arial"/>
          <w:b/>
          <w:bCs/>
          <w:i/>
          <w:iCs/>
          <w:color w:val="0070C0"/>
          <w:sz w:val="36"/>
          <w:szCs w:val="36"/>
          <w:highlight w:val="yellow"/>
        </w:rPr>
        <w:t>en</w:t>
      </w:r>
      <w:r w:rsidR="00242DB2" w:rsidRPr="00EE1129">
        <w:rPr>
          <w:rFonts w:ascii="Arial" w:hAnsi="Arial" w:cs="Arial"/>
          <w:b/>
          <w:bCs/>
          <w:i/>
          <w:iCs/>
          <w:color w:val="0070C0"/>
          <w:sz w:val="36"/>
          <w:szCs w:val="36"/>
          <w:highlight w:val="yellow"/>
        </w:rPr>
        <w:t xml:space="preserve"> org</w:t>
      </w:r>
      <w:r w:rsidR="0015431C" w:rsidRPr="00EE1129">
        <w:rPr>
          <w:rFonts w:ascii="Arial" w:hAnsi="Arial" w:cs="Arial"/>
          <w:b/>
          <w:bCs/>
          <w:i/>
          <w:iCs/>
          <w:color w:val="0070C0"/>
          <w:sz w:val="36"/>
          <w:szCs w:val="36"/>
          <w:highlight w:val="yellow"/>
        </w:rPr>
        <w:t>anizado</w:t>
      </w:r>
      <w:r w:rsidR="00242DB2" w:rsidRPr="00EE1129">
        <w:rPr>
          <w:rFonts w:ascii="Arial" w:hAnsi="Arial" w:cs="Arial"/>
          <w:b/>
          <w:bCs/>
          <w:i/>
          <w:iCs/>
          <w:color w:val="0070C0"/>
          <w:sz w:val="36"/>
          <w:szCs w:val="36"/>
          <w:highlight w:val="yellow"/>
        </w:rPr>
        <w:t xml:space="preserve"> y trata de personas</w:t>
      </w:r>
    </w:p>
    <w:p w14:paraId="440987E5" w14:textId="77777777" w:rsidR="00C17CF0" w:rsidRDefault="00C17CF0" w:rsidP="00AB0E83">
      <w:pPr>
        <w:pStyle w:val="Prrafodelista"/>
        <w:ind w:left="2268"/>
        <w:jc w:val="right"/>
        <w:rPr>
          <w:rFonts w:ascii="Arial" w:hAnsi="Arial" w:cs="Arial"/>
          <w:b/>
          <w:bCs/>
          <w:highlight w:val="yellow"/>
        </w:rPr>
      </w:pPr>
      <w:bookmarkStart w:id="0" w:name="_Hlk177704548"/>
    </w:p>
    <w:p w14:paraId="264E9E63" w14:textId="77777777" w:rsidR="00C17CF0" w:rsidRDefault="00C17CF0" w:rsidP="00AB0E83">
      <w:pPr>
        <w:pStyle w:val="Prrafodelista"/>
        <w:ind w:left="2268"/>
        <w:jc w:val="right"/>
        <w:rPr>
          <w:rFonts w:ascii="Arial" w:hAnsi="Arial" w:cs="Arial"/>
          <w:b/>
          <w:bCs/>
          <w:highlight w:val="yellow"/>
        </w:rPr>
      </w:pPr>
    </w:p>
    <w:p w14:paraId="63C19615" w14:textId="05ACE41B" w:rsidR="008B1891" w:rsidRDefault="0015431C" w:rsidP="00AB0E83">
      <w:pPr>
        <w:pStyle w:val="Prrafodelista"/>
        <w:ind w:left="2268"/>
        <w:jc w:val="right"/>
        <w:rPr>
          <w:rFonts w:ascii="Arial" w:hAnsi="Arial" w:cs="Arial"/>
          <w:b/>
          <w:bCs/>
        </w:rPr>
      </w:pPr>
      <w:r w:rsidRPr="00F21E8E">
        <w:rPr>
          <w:rFonts w:ascii="Arial" w:hAnsi="Arial" w:cs="Arial"/>
          <w:b/>
          <w:bCs/>
          <w:highlight w:val="yellow"/>
        </w:rPr>
        <w:t xml:space="preserve">Presentado por Leonel </w:t>
      </w:r>
      <w:r w:rsidR="00F8174F" w:rsidRPr="00F21E8E">
        <w:rPr>
          <w:rFonts w:ascii="Arial" w:hAnsi="Arial" w:cs="Arial"/>
          <w:b/>
          <w:bCs/>
          <w:highlight w:val="yellow"/>
        </w:rPr>
        <w:t>FALC</w:t>
      </w:r>
      <w:r w:rsidR="00F8174F">
        <w:rPr>
          <w:rFonts w:ascii="Arial" w:hAnsi="Arial" w:cs="Arial"/>
          <w:b/>
          <w:bCs/>
          <w:highlight w:val="yellow"/>
        </w:rPr>
        <w:t>ÓN</w:t>
      </w:r>
      <w:r w:rsidR="00097E00">
        <w:rPr>
          <w:rFonts w:ascii="Arial" w:hAnsi="Arial" w:cs="Arial"/>
          <w:b/>
          <w:bCs/>
          <w:highlight w:val="yellow"/>
        </w:rPr>
        <w:t xml:space="preserve"> </w:t>
      </w:r>
      <w:r w:rsidRPr="00F21E8E">
        <w:rPr>
          <w:rFonts w:ascii="Arial" w:hAnsi="Arial" w:cs="Arial"/>
          <w:b/>
          <w:bCs/>
          <w:highlight w:val="yellow"/>
        </w:rPr>
        <w:t xml:space="preserve">GUERRA </w:t>
      </w:r>
      <w:r w:rsidR="008B1891" w:rsidRPr="00F21E8E">
        <w:rPr>
          <w:rFonts w:ascii="Arial" w:hAnsi="Arial" w:cs="Arial"/>
          <w:b/>
          <w:bCs/>
          <w:highlight w:val="yellow"/>
        </w:rPr>
        <w:t>(</w:t>
      </w:r>
      <w:r w:rsidR="00AB0E83">
        <w:rPr>
          <w:rFonts w:ascii="Arial" w:hAnsi="Arial" w:cs="Arial"/>
          <w:b/>
          <w:bCs/>
          <w:highlight w:val="yellow"/>
        </w:rPr>
        <w:t xml:space="preserve">Lima, </w:t>
      </w:r>
      <w:r w:rsidR="008B1891" w:rsidRPr="00F21E8E">
        <w:rPr>
          <w:rFonts w:ascii="Arial" w:hAnsi="Arial" w:cs="Arial"/>
          <w:b/>
          <w:bCs/>
          <w:highlight w:val="yellow"/>
        </w:rPr>
        <w:t>Perú)</w:t>
      </w:r>
    </w:p>
    <w:bookmarkEnd w:id="0"/>
    <w:p w14:paraId="2169D060" w14:textId="77777777" w:rsidR="00C42832" w:rsidRDefault="00C42832" w:rsidP="006719D5">
      <w:pPr>
        <w:pStyle w:val="Prrafodelista"/>
        <w:spacing w:after="0" w:line="180" w:lineRule="atLeast"/>
        <w:ind w:left="659" w:hanging="517"/>
        <w:rPr>
          <w:rFonts w:ascii="Arial" w:hAnsi="Arial" w:cs="Arial"/>
          <w:b/>
          <w:bCs/>
          <w:color w:val="0070C0"/>
          <w:sz w:val="40"/>
          <w:szCs w:val="40"/>
        </w:rPr>
      </w:pPr>
    </w:p>
    <w:p w14:paraId="0C12BDC8" w14:textId="7574EB0A" w:rsidR="00812377" w:rsidRPr="00EE1129" w:rsidRDefault="006719D5" w:rsidP="006719D5">
      <w:pPr>
        <w:pStyle w:val="Prrafodelista"/>
        <w:spacing w:after="0" w:line="180" w:lineRule="atLeast"/>
        <w:ind w:left="659" w:hanging="517"/>
        <w:rPr>
          <w:rFonts w:ascii="Arial" w:hAnsi="Arial" w:cs="Arial"/>
          <w:b/>
          <w:bCs/>
          <w:color w:val="0070C0"/>
          <w:sz w:val="44"/>
          <w:szCs w:val="44"/>
        </w:rPr>
      </w:pPr>
      <w:r>
        <w:rPr>
          <w:rFonts w:ascii="Arial" w:hAnsi="Arial" w:cs="Arial"/>
          <w:b/>
          <w:bCs/>
          <w:color w:val="0070C0"/>
          <w:sz w:val="40"/>
          <w:szCs w:val="40"/>
        </w:rPr>
        <w:t>M</w:t>
      </w:r>
      <w:r w:rsidRPr="00EE1129">
        <w:rPr>
          <w:rFonts w:ascii="Arial" w:hAnsi="Arial" w:cs="Arial"/>
          <w:b/>
          <w:bCs/>
          <w:color w:val="0070C0"/>
          <w:sz w:val="40"/>
          <w:szCs w:val="40"/>
        </w:rPr>
        <w:t>igraciones</w:t>
      </w:r>
      <w:r w:rsidR="00A62DE6" w:rsidRPr="00EE1129">
        <w:rPr>
          <w:rFonts w:ascii="Arial" w:hAnsi="Arial" w:cs="Arial"/>
          <w:b/>
          <w:bCs/>
          <w:color w:val="0070C0"/>
          <w:sz w:val="40"/>
          <w:szCs w:val="40"/>
        </w:rPr>
        <w:t xml:space="preserve"> </w:t>
      </w:r>
      <w:r w:rsidRPr="00EE1129">
        <w:rPr>
          <w:rFonts w:ascii="Arial" w:hAnsi="Arial" w:cs="Arial"/>
          <w:b/>
          <w:bCs/>
          <w:color w:val="0070C0"/>
          <w:sz w:val="40"/>
          <w:szCs w:val="40"/>
        </w:rPr>
        <w:t>humanas</w:t>
      </w:r>
      <w:r w:rsidR="00812377" w:rsidRPr="00EE1129">
        <w:rPr>
          <w:rFonts w:ascii="Arial" w:hAnsi="Arial" w:cs="Arial"/>
          <w:b/>
          <w:bCs/>
          <w:color w:val="0070C0"/>
          <w:sz w:val="44"/>
          <w:szCs w:val="44"/>
        </w:rPr>
        <w:t xml:space="preserve"> </w:t>
      </w:r>
    </w:p>
    <w:p w14:paraId="79BF4686" w14:textId="75FC80C4" w:rsidR="00E87B04" w:rsidRPr="00E87B04" w:rsidRDefault="00E87B04" w:rsidP="00E87B04">
      <w:pPr>
        <w:spacing w:before="120" w:after="0" w:line="240" w:lineRule="auto"/>
        <w:ind w:firstLine="170"/>
        <w:jc w:val="both"/>
        <w:rPr>
          <w:rFonts w:ascii="Rockwell" w:hAnsi="Rockwell"/>
        </w:rPr>
      </w:pPr>
      <w:r w:rsidRPr="00E87B04">
        <w:rPr>
          <w:rFonts w:ascii="Rockwell" w:hAnsi="Rockwell"/>
        </w:rPr>
        <w:t xml:space="preserve">Las recientes investigaciones basadas en el ácido desoxirribonucleico </w:t>
      </w:r>
      <w:r>
        <w:rPr>
          <w:rFonts w:ascii="Rockwell" w:hAnsi="Rockwell"/>
        </w:rPr>
        <w:t xml:space="preserve">(ADN) </w:t>
      </w:r>
      <w:r w:rsidRPr="00E87B04">
        <w:rPr>
          <w:rFonts w:ascii="Rockwell" w:hAnsi="Rockwell"/>
        </w:rPr>
        <w:t>han concluido que el hombre moderno se originó en lo que hoy pertenece al norte de Botswana, África</w:t>
      </w:r>
      <w:r w:rsidR="00AB0E83">
        <w:rPr>
          <w:rFonts w:ascii="Rockwell" w:hAnsi="Rockwell"/>
        </w:rPr>
        <w:t>,</w:t>
      </w:r>
      <w:r w:rsidRPr="00E87B04">
        <w:rPr>
          <w:rFonts w:ascii="Rockwell" w:hAnsi="Rockwell"/>
        </w:rPr>
        <w:t xml:space="preserve"> hace 200 mil años. La región, hoy árida, atesoraba en su día un complejo sistema de lagos que dio lugar a un ecosistema fértil. Y eso no es todo. Un nuevo hallazgo añade una pieza más al complicado rompecabezas de la historia del linaje humano. Según un equipo internacional de investigadores liderado del Instituto Garvan de </w:t>
      </w:r>
      <w:r w:rsidR="00AB0E83" w:rsidRPr="00E87B04">
        <w:rPr>
          <w:rFonts w:ascii="Rockwell" w:hAnsi="Rockwell"/>
        </w:rPr>
        <w:t>Sídney</w:t>
      </w:r>
      <w:r w:rsidRPr="00E87B04">
        <w:rPr>
          <w:rFonts w:ascii="Rockwell" w:hAnsi="Rockwell"/>
        </w:rPr>
        <w:t>, Australia, los humanos modernos procedemos de una sola población que vivió en el sur de África hace unos 200.000 años</w:t>
      </w:r>
      <w:r>
        <w:rPr>
          <w:rStyle w:val="Refdenotaalpie"/>
          <w:rFonts w:ascii="Rockwell" w:hAnsi="Rockwell"/>
        </w:rPr>
        <w:footnoteReference w:id="1"/>
      </w:r>
      <w:r w:rsidRPr="00E87B04">
        <w:rPr>
          <w:rFonts w:ascii="Rockwell" w:hAnsi="Rockwell"/>
        </w:rPr>
        <w:t>.</w:t>
      </w:r>
      <w:r>
        <w:rPr>
          <w:rFonts w:ascii="Rockwell" w:hAnsi="Rockwell"/>
        </w:rPr>
        <w:t xml:space="preserve"> </w:t>
      </w:r>
    </w:p>
    <w:p w14:paraId="799D71CD" w14:textId="311EF2AA" w:rsidR="00C4367F" w:rsidRPr="00F21E8E" w:rsidRDefault="00C4367F" w:rsidP="00E87B04">
      <w:pPr>
        <w:spacing w:before="120" w:after="0" w:line="240" w:lineRule="auto"/>
        <w:ind w:firstLine="170"/>
        <w:jc w:val="both"/>
        <w:rPr>
          <w:rFonts w:ascii="Rockwell" w:hAnsi="Rockwell"/>
        </w:rPr>
      </w:pPr>
      <w:r w:rsidRPr="00F21E8E">
        <w:rPr>
          <w:rFonts w:ascii="Rockwell" w:hAnsi="Rockwell"/>
        </w:rPr>
        <w:t xml:space="preserve">La revolución neolítica </w:t>
      </w:r>
      <w:r w:rsidR="00B31F68">
        <w:rPr>
          <w:rFonts w:ascii="Rockwell" w:hAnsi="Rockwell"/>
        </w:rPr>
        <w:t xml:space="preserve">en todo el planeta </w:t>
      </w:r>
      <w:r w:rsidRPr="00F21E8E">
        <w:rPr>
          <w:rFonts w:ascii="Rockwell" w:hAnsi="Rockwell"/>
        </w:rPr>
        <w:t>de hace unos 9 000 años</w:t>
      </w:r>
      <w:r w:rsidR="006C375A">
        <w:rPr>
          <w:rStyle w:val="Refdenotaalpie"/>
          <w:rFonts w:ascii="Rockwell" w:hAnsi="Rockwell"/>
        </w:rPr>
        <w:footnoteReference w:id="2"/>
      </w:r>
      <w:r w:rsidRPr="00F21E8E">
        <w:rPr>
          <w:rFonts w:ascii="Rockwell" w:hAnsi="Rockwell"/>
        </w:rPr>
        <w:t xml:space="preserve"> </w:t>
      </w:r>
      <w:r w:rsidR="00AB0E83">
        <w:rPr>
          <w:rFonts w:ascii="Rockwell" w:hAnsi="Rockwell"/>
        </w:rPr>
        <w:t>–</w:t>
      </w:r>
      <w:r w:rsidR="00AB0E83" w:rsidRPr="00AB0E83">
        <w:rPr>
          <w:rFonts w:ascii="Rockwell" w:hAnsi="Rockwell"/>
          <w:i/>
          <w:iCs/>
        </w:rPr>
        <w:t>la cual coincide con el esplendor de Guitarrero, Lauricocha y Toquepala en el Antiguo Perú</w:t>
      </w:r>
      <w:r w:rsidR="00AB0E83">
        <w:rPr>
          <w:rFonts w:ascii="Rockwell" w:hAnsi="Rockwell"/>
        </w:rPr>
        <w:t>– surge con</w:t>
      </w:r>
      <w:r w:rsidRPr="00F21E8E">
        <w:rPr>
          <w:rFonts w:ascii="Rockwell" w:hAnsi="Rockwell"/>
        </w:rPr>
        <w:t xml:space="preserve"> el desarrollo de la agricultura intensiva bajo riego, </w:t>
      </w:r>
      <w:r w:rsidR="00E56B69">
        <w:rPr>
          <w:rFonts w:ascii="Rockwell" w:hAnsi="Rockwell"/>
        </w:rPr>
        <w:t xml:space="preserve">lo que </w:t>
      </w:r>
      <w:r w:rsidR="0079403B" w:rsidRPr="00F21E8E">
        <w:rPr>
          <w:rFonts w:ascii="Rockwell" w:hAnsi="Rockwell"/>
        </w:rPr>
        <w:t>produjo</w:t>
      </w:r>
      <w:r w:rsidRPr="00F21E8E">
        <w:rPr>
          <w:rFonts w:ascii="Rockwell" w:hAnsi="Rockwell"/>
        </w:rPr>
        <w:t xml:space="preserve"> </w:t>
      </w:r>
      <w:r w:rsidR="0079403B" w:rsidRPr="00F21E8E">
        <w:rPr>
          <w:rFonts w:ascii="Rockwell" w:hAnsi="Rockwell"/>
        </w:rPr>
        <w:t xml:space="preserve">una </w:t>
      </w:r>
      <w:r w:rsidR="00B31F68">
        <w:rPr>
          <w:rFonts w:ascii="Rockwell" w:hAnsi="Rockwell"/>
        </w:rPr>
        <w:t xml:space="preserve">nueva </w:t>
      </w:r>
      <w:r w:rsidR="0079403B" w:rsidRPr="00F21E8E">
        <w:rPr>
          <w:rFonts w:ascii="Rockwell" w:hAnsi="Rockwell"/>
        </w:rPr>
        <w:t>migración</w:t>
      </w:r>
      <w:r w:rsidRPr="00F21E8E">
        <w:rPr>
          <w:rFonts w:ascii="Rockwell" w:hAnsi="Rockwell"/>
        </w:rPr>
        <w:t xml:space="preserve"> </w:t>
      </w:r>
      <w:r w:rsidR="00E56B69">
        <w:rPr>
          <w:rFonts w:ascii="Rockwell" w:hAnsi="Rockwell"/>
        </w:rPr>
        <w:t xml:space="preserve">masiva </w:t>
      </w:r>
      <w:r w:rsidRPr="00F21E8E">
        <w:rPr>
          <w:rFonts w:ascii="Rockwell" w:hAnsi="Rockwell"/>
        </w:rPr>
        <w:t>de la población</w:t>
      </w:r>
      <w:r w:rsidR="00E56B69">
        <w:rPr>
          <w:rFonts w:ascii="Rockwell" w:hAnsi="Rockwell"/>
        </w:rPr>
        <w:t>:</w:t>
      </w:r>
      <w:r w:rsidRPr="00F21E8E">
        <w:rPr>
          <w:rFonts w:ascii="Rockwell" w:hAnsi="Rockwell"/>
        </w:rPr>
        <w:t xml:space="preserve"> millones de </w:t>
      </w:r>
      <w:r w:rsidR="00E56B69">
        <w:rPr>
          <w:rFonts w:ascii="Rockwell" w:hAnsi="Rockwell"/>
        </w:rPr>
        <w:t>seres humanos</w:t>
      </w:r>
      <w:r w:rsidRPr="00F21E8E">
        <w:rPr>
          <w:rFonts w:ascii="Rockwell" w:hAnsi="Rockwell"/>
        </w:rPr>
        <w:t xml:space="preserve"> abandonaron su vida nómada para hacerse sedentarios.</w:t>
      </w:r>
      <w:r w:rsidR="0043334B" w:rsidRPr="00F21E8E">
        <w:rPr>
          <w:rFonts w:ascii="Rockwell" w:hAnsi="Rockwell"/>
        </w:rPr>
        <w:t xml:space="preserve"> </w:t>
      </w:r>
      <w:r w:rsidRPr="00F21E8E">
        <w:rPr>
          <w:rFonts w:ascii="Times New Roman" w:hAnsi="Times New Roman" w:cs="Times New Roman"/>
        </w:rPr>
        <w:t>​</w:t>
      </w:r>
    </w:p>
    <w:p w14:paraId="7F29D22D" w14:textId="02BAEE46" w:rsidR="00C4367F" w:rsidRPr="00F21E8E" w:rsidRDefault="00C17CF0" w:rsidP="00B973CC">
      <w:pPr>
        <w:spacing w:before="120" w:after="0" w:line="240" w:lineRule="auto"/>
        <w:ind w:firstLine="170"/>
        <w:jc w:val="both"/>
        <w:rPr>
          <w:rFonts w:ascii="Rockwell" w:hAnsi="Rockwell"/>
        </w:rPr>
      </w:pPr>
      <w:r>
        <w:rPr>
          <w:noProof/>
        </w:rPr>
        <w:drawing>
          <wp:anchor distT="0" distB="0" distL="114300" distR="114300" simplePos="0" relativeHeight="251662336" behindDoc="0" locked="0" layoutInCell="1" allowOverlap="1" wp14:anchorId="26E0BFC3" wp14:editId="1221B250">
            <wp:simplePos x="0" y="0"/>
            <wp:positionH relativeFrom="margin">
              <wp:align>left</wp:align>
            </wp:positionH>
            <wp:positionV relativeFrom="paragraph">
              <wp:posOffset>729615</wp:posOffset>
            </wp:positionV>
            <wp:extent cx="4663440" cy="2788285"/>
            <wp:effectExtent l="0" t="0" r="3810" b="0"/>
            <wp:wrapSquare wrapText="bothSides"/>
            <wp:docPr id="7" name="Imagen 3" descr="Flechas Del Mapa Mundial De Las Primeras Migraciones Humanas Ilustración  del Vector - Ilustración de humano, internacional: 173159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chas Del Mapa Mundial De Las Primeras Migraciones Humanas Ilustración  del Vector - Ilustración de humano, internacional: 1731595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3440" cy="2788285"/>
                    </a:xfrm>
                    <a:prstGeom prst="rect">
                      <a:avLst/>
                    </a:prstGeom>
                    <a:noFill/>
                    <a:ln>
                      <a:noFill/>
                    </a:ln>
                  </pic:spPr>
                </pic:pic>
              </a:graphicData>
            </a:graphic>
            <wp14:sizeRelH relativeFrom="page">
              <wp14:pctWidth>0</wp14:pctWidth>
            </wp14:sizeRelH>
            <wp14:sizeRelV relativeFrom="page">
              <wp14:pctHeight>0</wp14:pctHeight>
            </wp14:sizeRelV>
          </wp:anchor>
        </w:drawing>
      </w:r>
      <w:r w:rsidR="00C4367F" w:rsidRPr="00F21E8E">
        <w:rPr>
          <w:rFonts w:ascii="Rockwell" w:hAnsi="Rockwell"/>
        </w:rPr>
        <w:t>El poblamiento y expansión de los cartagineses y romanos estuvo acompañado por guerras que cambiaron por completo el mapa político del sur de Europa y norte de África. El periodo de las grandes migraciones sirvió para que muchos pueblos se establecieran a ambos lados de los antiguos límites del Imperio romano.</w:t>
      </w:r>
    </w:p>
    <w:p w14:paraId="027114C4" w14:textId="06BCB071"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El feudalismo </w:t>
      </w:r>
      <w:r w:rsidR="0079403B" w:rsidRPr="00F21E8E">
        <w:rPr>
          <w:rFonts w:ascii="Rockwell" w:hAnsi="Rockwell"/>
        </w:rPr>
        <w:t>mantuvo</w:t>
      </w:r>
      <w:r w:rsidRPr="00F21E8E">
        <w:rPr>
          <w:rFonts w:ascii="Rockwell" w:hAnsi="Rockwell"/>
        </w:rPr>
        <w:t xml:space="preserve"> a los campesinos </w:t>
      </w:r>
      <w:r w:rsidR="0079403B" w:rsidRPr="00F21E8E">
        <w:rPr>
          <w:rFonts w:ascii="Rockwell" w:hAnsi="Rockwell"/>
        </w:rPr>
        <w:t>vinculados</w:t>
      </w:r>
      <w:r w:rsidRPr="00F21E8E">
        <w:rPr>
          <w:rFonts w:ascii="Rockwell" w:hAnsi="Rockwell"/>
        </w:rPr>
        <w:t xml:space="preserve"> la tierra y </w:t>
      </w:r>
      <w:r w:rsidR="0079403B" w:rsidRPr="00F21E8E">
        <w:rPr>
          <w:rFonts w:ascii="Rockwell" w:hAnsi="Rockwell"/>
        </w:rPr>
        <w:t xml:space="preserve">las </w:t>
      </w:r>
      <w:r w:rsidRPr="00F21E8E">
        <w:rPr>
          <w:rFonts w:ascii="Rockwell" w:hAnsi="Rockwell"/>
        </w:rPr>
        <w:t xml:space="preserve">aldeas. </w:t>
      </w:r>
      <w:r w:rsidR="0079403B" w:rsidRPr="00F21E8E">
        <w:rPr>
          <w:rFonts w:ascii="Rockwell" w:hAnsi="Rockwell"/>
        </w:rPr>
        <w:t xml:space="preserve">Al </w:t>
      </w:r>
      <w:r w:rsidR="002C212C" w:rsidRPr="00F21E8E">
        <w:rPr>
          <w:rFonts w:ascii="Rockwell" w:hAnsi="Rockwell"/>
        </w:rPr>
        <w:t>mismo</w:t>
      </w:r>
      <w:r w:rsidR="0079403B" w:rsidRPr="00F21E8E">
        <w:rPr>
          <w:rFonts w:ascii="Rockwell" w:hAnsi="Rockwell"/>
        </w:rPr>
        <w:t xml:space="preserve"> tiempo</w:t>
      </w:r>
      <w:r w:rsidRPr="00F21E8E">
        <w:rPr>
          <w:rFonts w:ascii="Rockwell" w:hAnsi="Rockwell"/>
        </w:rPr>
        <w:t>, aument</w:t>
      </w:r>
      <w:r w:rsidR="0079403B" w:rsidRPr="00F21E8E">
        <w:rPr>
          <w:rFonts w:ascii="Rockwell" w:hAnsi="Rockwell"/>
        </w:rPr>
        <w:t>aron</w:t>
      </w:r>
      <w:r w:rsidRPr="00F21E8E">
        <w:rPr>
          <w:rFonts w:ascii="Rockwell" w:hAnsi="Rockwell"/>
        </w:rPr>
        <w:t xml:space="preserve"> las guerras entre los feudos existentes, lo cual dio origen a invasiones y desplazamientos masivos de la población, que fueron creciendo con </w:t>
      </w:r>
      <w:r w:rsidR="00351F63" w:rsidRPr="00F21E8E">
        <w:rPr>
          <w:rFonts w:ascii="Rockwell" w:hAnsi="Rockwell"/>
        </w:rPr>
        <w:t>la</w:t>
      </w:r>
      <w:r w:rsidRPr="00F21E8E">
        <w:rPr>
          <w:rFonts w:ascii="Rockwell" w:hAnsi="Rockwell"/>
        </w:rPr>
        <w:t xml:space="preserve"> transformación de </w:t>
      </w:r>
      <w:r w:rsidR="00C17CF0">
        <w:rPr>
          <w:rFonts w:ascii="Rockwell" w:hAnsi="Rockwell"/>
          <w:noProof/>
        </w:rPr>
        <w:lastRenderedPageBreak/>
        <w:drawing>
          <wp:anchor distT="0" distB="0" distL="114300" distR="114300" simplePos="0" relativeHeight="251663360" behindDoc="0" locked="0" layoutInCell="1" allowOverlap="1" wp14:anchorId="0570FFED" wp14:editId="692ED386">
            <wp:simplePos x="0" y="0"/>
            <wp:positionH relativeFrom="margin">
              <wp:posOffset>2004060</wp:posOffset>
            </wp:positionH>
            <wp:positionV relativeFrom="paragraph">
              <wp:posOffset>28575</wp:posOffset>
            </wp:positionV>
            <wp:extent cx="4107815" cy="2110740"/>
            <wp:effectExtent l="0" t="0" r="6985" b="3810"/>
            <wp:wrapSquare wrapText="bothSides"/>
            <wp:docPr id="32794539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7815" cy="2110740"/>
                    </a:xfrm>
                    <a:prstGeom prst="rect">
                      <a:avLst/>
                    </a:prstGeom>
                    <a:noFill/>
                  </pic:spPr>
                </pic:pic>
              </a:graphicData>
            </a:graphic>
            <wp14:sizeRelH relativeFrom="page">
              <wp14:pctWidth>0</wp14:pctWidth>
            </wp14:sizeRelH>
            <wp14:sizeRelV relativeFrom="page">
              <wp14:pctHeight>0</wp14:pctHeight>
            </wp14:sizeRelV>
          </wp:anchor>
        </w:drawing>
      </w:r>
      <w:r w:rsidRPr="00F21E8E">
        <w:rPr>
          <w:rFonts w:ascii="Rockwell" w:hAnsi="Rockwell"/>
        </w:rPr>
        <w:t xml:space="preserve">algunos feudos en los </w:t>
      </w:r>
      <w:r w:rsidR="00C87D85" w:rsidRPr="00F21E8E">
        <w:rPr>
          <w:rFonts w:ascii="Rockwell" w:hAnsi="Rockwell"/>
        </w:rPr>
        <w:t>E</w:t>
      </w:r>
      <w:r w:rsidRPr="00F21E8E">
        <w:rPr>
          <w:rFonts w:ascii="Rockwell" w:hAnsi="Rockwell"/>
        </w:rPr>
        <w:t xml:space="preserve">stados nacionales a fines de la Edad Media lo que, determinó </w:t>
      </w:r>
      <w:r w:rsidR="00351F63" w:rsidRPr="00F21E8E">
        <w:rPr>
          <w:rFonts w:ascii="Rockwell" w:hAnsi="Rockwell"/>
        </w:rPr>
        <w:t>su</w:t>
      </w:r>
      <w:r w:rsidRPr="00F21E8E">
        <w:rPr>
          <w:rFonts w:ascii="Rockwell" w:hAnsi="Rockwell"/>
        </w:rPr>
        <w:t xml:space="preserve"> </w:t>
      </w:r>
      <w:r w:rsidR="0079403B" w:rsidRPr="00F21E8E">
        <w:rPr>
          <w:rFonts w:ascii="Rockwell" w:hAnsi="Rockwell"/>
        </w:rPr>
        <w:t>ocaso como modelo económico y político</w:t>
      </w:r>
      <w:r w:rsidRPr="00F21E8E">
        <w:rPr>
          <w:rFonts w:ascii="Rockwell" w:hAnsi="Rockwell"/>
        </w:rPr>
        <w:t>.</w:t>
      </w:r>
    </w:p>
    <w:p w14:paraId="0CF28882" w14:textId="0E75FC9D"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En la Edad Media se desarrollaron las ciudades </w:t>
      </w:r>
      <w:r w:rsidR="00623D14" w:rsidRPr="00F21E8E">
        <w:rPr>
          <w:rFonts w:ascii="Rockwell" w:hAnsi="Rockwell"/>
        </w:rPr>
        <w:t xml:space="preserve">- </w:t>
      </w:r>
      <w:r w:rsidR="003C4D98" w:rsidRPr="00F21E8E">
        <w:rPr>
          <w:rFonts w:ascii="Rockwell" w:hAnsi="Rockwell"/>
        </w:rPr>
        <w:t>E</w:t>
      </w:r>
      <w:r w:rsidRPr="00F21E8E">
        <w:rPr>
          <w:rFonts w:ascii="Rockwell" w:hAnsi="Rockwell"/>
        </w:rPr>
        <w:t xml:space="preserve">stado en el noroeste europeo y ambos lados de los pasos a través de los Alpes y en las ciudades del </w:t>
      </w:r>
      <w:r w:rsidR="003C4D98" w:rsidRPr="00F21E8E">
        <w:rPr>
          <w:rFonts w:ascii="Rockwell" w:hAnsi="Rockwell"/>
        </w:rPr>
        <w:t>n</w:t>
      </w:r>
      <w:r w:rsidRPr="00F21E8E">
        <w:rPr>
          <w:rFonts w:ascii="Rockwell" w:hAnsi="Rockwell"/>
        </w:rPr>
        <w:t xml:space="preserve">orte de Italia, con el predominio de Venecia. Estas ciudades crecieron </w:t>
      </w:r>
      <w:r w:rsidR="00351F63" w:rsidRPr="00F21E8E">
        <w:rPr>
          <w:rFonts w:ascii="Rockwell" w:hAnsi="Rockwell"/>
        </w:rPr>
        <w:t>con</w:t>
      </w:r>
      <w:r w:rsidRPr="00F21E8E">
        <w:rPr>
          <w:rFonts w:ascii="Rockwell" w:hAnsi="Rockwell"/>
        </w:rPr>
        <w:t xml:space="preserve"> el desarrollo del comercio </w:t>
      </w:r>
      <w:r w:rsidR="00351F63" w:rsidRPr="00F21E8E">
        <w:rPr>
          <w:rFonts w:ascii="Rockwell" w:hAnsi="Rockwell"/>
        </w:rPr>
        <w:t>dando</w:t>
      </w:r>
      <w:r w:rsidRPr="00F21E8E">
        <w:rPr>
          <w:rFonts w:ascii="Rockwell" w:hAnsi="Rockwell"/>
        </w:rPr>
        <w:t xml:space="preserve"> lugar a grandes migraciones </w:t>
      </w:r>
      <w:r w:rsidR="003C4D98" w:rsidRPr="00F21E8E">
        <w:rPr>
          <w:rFonts w:ascii="Rockwell" w:hAnsi="Rockwell"/>
        </w:rPr>
        <w:t>d</w:t>
      </w:r>
      <w:r w:rsidRPr="00F21E8E">
        <w:rPr>
          <w:rFonts w:ascii="Rockwell" w:hAnsi="Rockwell"/>
        </w:rPr>
        <w:t xml:space="preserve">el mundo rural </w:t>
      </w:r>
      <w:r w:rsidR="003C4D98" w:rsidRPr="00F21E8E">
        <w:rPr>
          <w:rFonts w:ascii="Rockwell" w:hAnsi="Rockwell"/>
        </w:rPr>
        <w:t>a</w:t>
      </w:r>
      <w:r w:rsidRPr="00F21E8E">
        <w:rPr>
          <w:rFonts w:ascii="Rockwell" w:hAnsi="Rockwell"/>
        </w:rPr>
        <w:t xml:space="preserve"> </w:t>
      </w:r>
      <w:r w:rsidR="00351F63" w:rsidRPr="00F21E8E">
        <w:rPr>
          <w:rFonts w:ascii="Rockwell" w:hAnsi="Rockwell"/>
        </w:rPr>
        <w:t>las referida</w:t>
      </w:r>
      <w:r w:rsidRPr="00F21E8E">
        <w:rPr>
          <w:rFonts w:ascii="Rockwell" w:hAnsi="Rockwell"/>
        </w:rPr>
        <w:t xml:space="preserve">s ciudades, así como el surgimiento de </w:t>
      </w:r>
      <w:r w:rsidR="00351F63" w:rsidRPr="00F21E8E">
        <w:rPr>
          <w:rFonts w:ascii="Rockwell" w:hAnsi="Rockwell"/>
        </w:rPr>
        <w:t>nuevas</w:t>
      </w:r>
      <w:r w:rsidRPr="00F21E8E">
        <w:rPr>
          <w:rFonts w:ascii="Rockwell" w:hAnsi="Rockwell"/>
        </w:rPr>
        <w:t xml:space="preserve"> aldeas dedicad</w:t>
      </w:r>
      <w:r w:rsidR="00B31F68">
        <w:rPr>
          <w:rFonts w:ascii="Rockwell" w:hAnsi="Rockwell"/>
        </w:rPr>
        <w:t>a</w:t>
      </w:r>
      <w:r w:rsidRPr="00F21E8E">
        <w:rPr>
          <w:rFonts w:ascii="Rockwell" w:hAnsi="Rockwell"/>
        </w:rPr>
        <w:t>s a la manufactura artesanal.</w:t>
      </w:r>
    </w:p>
    <w:p w14:paraId="70977B67" w14:textId="3DEB5A4C" w:rsidR="00C4367F" w:rsidRPr="00F21E8E" w:rsidRDefault="00623D14" w:rsidP="00B973CC">
      <w:pPr>
        <w:spacing w:before="120" w:after="0" w:line="240" w:lineRule="auto"/>
        <w:ind w:firstLine="170"/>
        <w:jc w:val="both"/>
        <w:rPr>
          <w:rFonts w:ascii="Rockwell" w:hAnsi="Rockwell"/>
        </w:rPr>
      </w:pPr>
      <w:r w:rsidRPr="00F21E8E">
        <w:rPr>
          <w:rFonts w:ascii="Rockwell" w:hAnsi="Rockwell"/>
        </w:rPr>
        <w:t>La</w:t>
      </w:r>
      <w:r w:rsidR="00C4367F" w:rsidRPr="00F21E8E">
        <w:rPr>
          <w:rFonts w:ascii="Rockwell" w:hAnsi="Rockwell"/>
        </w:rPr>
        <w:t xml:space="preserve"> Edad Moderna marca el inicio de los viajes de </w:t>
      </w:r>
      <w:r w:rsidR="00351F63" w:rsidRPr="00F21E8E">
        <w:rPr>
          <w:rFonts w:ascii="Rockwell" w:hAnsi="Rockwell"/>
        </w:rPr>
        <w:t xml:space="preserve">navegación y </w:t>
      </w:r>
      <w:r w:rsidR="00C4367F" w:rsidRPr="00F21E8E">
        <w:rPr>
          <w:rFonts w:ascii="Rockwell" w:hAnsi="Rockwell"/>
        </w:rPr>
        <w:t xml:space="preserve">descubrimiento, la formación de </w:t>
      </w:r>
      <w:r w:rsidR="003C4D98" w:rsidRPr="00F21E8E">
        <w:rPr>
          <w:rFonts w:ascii="Rockwell" w:hAnsi="Rockwell"/>
        </w:rPr>
        <w:t>i</w:t>
      </w:r>
      <w:r w:rsidR="00C4367F" w:rsidRPr="00F21E8E">
        <w:rPr>
          <w:rFonts w:ascii="Rockwell" w:hAnsi="Rockwell"/>
        </w:rPr>
        <w:t>mperios de ultramar, la colonización de otros continentes y países por parte de</w:t>
      </w:r>
      <w:r w:rsidR="00C4367F" w:rsidRPr="00F21E8E">
        <w:rPr>
          <w:rFonts w:ascii="Rockwell" w:hAnsi="Rockwell"/>
          <w:b/>
          <w:bCs/>
        </w:rPr>
        <w:t xml:space="preserve"> </w:t>
      </w:r>
      <w:r w:rsidR="00C87D85" w:rsidRPr="00F21E8E">
        <w:rPr>
          <w:rFonts w:ascii="Rockwell" w:hAnsi="Rockwell"/>
          <w:b/>
          <w:bCs/>
        </w:rPr>
        <w:t xml:space="preserve">Inglaterra, Portugal, España, </w:t>
      </w:r>
      <w:r w:rsidR="00351F63" w:rsidRPr="00F21E8E">
        <w:rPr>
          <w:rFonts w:ascii="Rockwell" w:hAnsi="Rockwell"/>
          <w:b/>
          <w:bCs/>
        </w:rPr>
        <w:t xml:space="preserve">Bélgica, </w:t>
      </w:r>
      <w:r w:rsidR="00C87D85" w:rsidRPr="00F21E8E">
        <w:rPr>
          <w:rFonts w:ascii="Rockwell" w:hAnsi="Rockwell"/>
          <w:b/>
          <w:bCs/>
        </w:rPr>
        <w:t>Holanda y Francia</w:t>
      </w:r>
      <w:r w:rsidR="00C4367F" w:rsidRPr="00F21E8E">
        <w:rPr>
          <w:rFonts w:ascii="Rockwell" w:hAnsi="Rockwell"/>
        </w:rPr>
        <w:t>. El desarrollo de la navegación dio lugar a desplazamientos de millones de personas que</w:t>
      </w:r>
      <w:r w:rsidR="00C87D85" w:rsidRPr="00F21E8E">
        <w:rPr>
          <w:rFonts w:ascii="Rockwell" w:hAnsi="Rockwell"/>
        </w:rPr>
        <w:t xml:space="preserve"> </w:t>
      </w:r>
      <w:r w:rsidR="00C4367F" w:rsidRPr="00F21E8E">
        <w:rPr>
          <w:rFonts w:ascii="Rockwell" w:hAnsi="Rockwell"/>
        </w:rPr>
        <w:t xml:space="preserve">dieron origen a </w:t>
      </w:r>
      <w:r w:rsidR="00C87D85" w:rsidRPr="00F21E8E">
        <w:rPr>
          <w:rFonts w:ascii="Rockwell" w:hAnsi="Rockwell"/>
        </w:rPr>
        <w:t>la</w:t>
      </w:r>
      <w:r w:rsidR="00C4367F" w:rsidRPr="00F21E8E">
        <w:rPr>
          <w:rFonts w:ascii="Rockwell" w:hAnsi="Rockwell"/>
        </w:rPr>
        <w:t xml:space="preserve"> despoblación en muchos países europeos, sirvieron para fundar y poblar muchos países nuevos, sobre todo en América, a través de un proceso que puede considerarse, como invasión y genocidio</w:t>
      </w:r>
      <w:r w:rsidR="00C87D85" w:rsidRPr="00F21E8E">
        <w:rPr>
          <w:rFonts w:ascii="Rockwell" w:hAnsi="Rockwell"/>
        </w:rPr>
        <w:t>.</w:t>
      </w:r>
      <w:r w:rsidR="00C4367F" w:rsidRPr="00F21E8E">
        <w:rPr>
          <w:rFonts w:ascii="Rockwell" w:hAnsi="Rockwell"/>
        </w:rPr>
        <w:t xml:space="preserve"> La ocupación progresiva de la América del Norte por parte de los españoles, franceses e ingleses se hizo más intensa con el descubrimiento de oro y plata en </w:t>
      </w:r>
      <w:r w:rsidR="0078738D" w:rsidRPr="00F21E8E">
        <w:rPr>
          <w:rFonts w:ascii="Rockwell" w:hAnsi="Rockwell"/>
        </w:rPr>
        <w:t>la</w:t>
      </w:r>
      <w:r w:rsidR="009C4415" w:rsidRPr="00F21E8E">
        <w:rPr>
          <w:rFonts w:ascii="Rockwell" w:hAnsi="Rockwell"/>
        </w:rPr>
        <w:t>s</w:t>
      </w:r>
      <w:r w:rsidR="0078738D" w:rsidRPr="00F21E8E">
        <w:rPr>
          <w:rFonts w:ascii="Rockwell" w:hAnsi="Rockwell"/>
        </w:rPr>
        <w:t xml:space="preserve"> costas del Pacifico</w:t>
      </w:r>
      <w:r w:rsidR="00C4367F" w:rsidRPr="00F21E8E">
        <w:rPr>
          <w:rFonts w:ascii="Rockwell" w:hAnsi="Rockwell"/>
        </w:rPr>
        <w:t xml:space="preserve"> </w:t>
      </w:r>
      <w:r w:rsidR="0078738D" w:rsidRPr="00F21E8E">
        <w:rPr>
          <w:rFonts w:ascii="Rockwell" w:hAnsi="Rockwell"/>
        </w:rPr>
        <w:t>con</w:t>
      </w:r>
      <w:r w:rsidR="00C4367F" w:rsidRPr="00F21E8E">
        <w:rPr>
          <w:rFonts w:ascii="Rockwell" w:hAnsi="Rockwell"/>
        </w:rPr>
        <w:t xml:space="preserve"> caracteres distintos a la expansión colonia</w:t>
      </w:r>
      <w:r w:rsidR="00C87D85" w:rsidRPr="00F21E8E">
        <w:rPr>
          <w:rFonts w:ascii="Rockwell" w:hAnsi="Rockwell"/>
        </w:rPr>
        <w:t>l desde rio Grande hasta Tierra del Fuego</w:t>
      </w:r>
      <w:r w:rsidR="00C4367F" w:rsidRPr="00F21E8E">
        <w:rPr>
          <w:rFonts w:ascii="Rockwell" w:hAnsi="Rockwell"/>
        </w:rPr>
        <w:t>.</w:t>
      </w:r>
    </w:p>
    <w:p w14:paraId="7C22B0AA" w14:textId="00823A75" w:rsidR="008B1891" w:rsidRPr="00F21E8E" w:rsidRDefault="00351F63" w:rsidP="00B973CC">
      <w:pPr>
        <w:spacing w:before="120" w:after="0" w:line="240" w:lineRule="auto"/>
        <w:ind w:firstLine="170"/>
        <w:jc w:val="both"/>
        <w:rPr>
          <w:rFonts w:ascii="Rockwell" w:hAnsi="Rockwell"/>
        </w:rPr>
      </w:pPr>
      <w:r w:rsidRPr="00F21E8E">
        <w:rPr>
          <w:rFonts w:ascii="Rockwell" w:hAnsi="Rockwell"/>
        </w:rPr>
        <w:t>L</w:t>
      </w:r>
      <w:r w:rsidR="00C4367F" w:rsidRPr="00F21E8E">
        <w:rPr>
          <w:rFonts w:ascii="Rockwell" w:hAnsi="Rockwell"/>
        </w:rPr>
        <w:t xml:space="preserve">a </w:t>
      </w:r>
      <w:r w:rsidR="00C87D85" w:rsidRPr="00F21E8E">
        <w:rPr>
          <w:rFonts w:ascii="Rockwell" w:hAnsi="Rockwell"/>
        </w:rPr>
        <w:t>r</w:t>
      </w:r>
      <w:r w:rsidR="00C4367F" w:rsidRPr="00F21E8E">
        <w:rPr>
          <w:rFonts w:ascii="Rockwell" w:hAnsi="Rockwell"/>
        </w:rPr>
        <w:t xml:space="preserve">evolución </w:t>
      </w:r>
      <w:r w:rsidR="00C87D85" w:rsidRPr="00F21E8E">
        <w:rPr>
          <w:rFonts w:ascii="Rockwell" w:hAnsi="Rockwell"/>
        </w:rPr>
        <w:t>i</w:t>
      </w:r>
      <w:r w:rsidR="00C4367F" w:rsidRPr="00F21E8E">
        <w:rPr>
          <w:rFonts w:ascii="Rockwell" w:hAnsi="Rockwell"/>
        </w:rPr>
        <w:t>ndustrial dio origen al mayor proceso migratorio de toda la historia que no ha terminado, sino que está tomando nuevas formas: el llamado éxodo rural, que involucr</w:t>
      </w:r>
      <w:r w:rsidRPr="00F21E8E">
        <w:rPr>
          <w:rFonts w:ascii="Rockwell" w:hAnsi="Rockwell"/>
        </w:rPr>
        <w:t>a</w:t>
      </w:r>
      <w:r w:rsidR="00C4367F" w:rsidRPr="00F21E8E">
        <w:rPr>
          <w:rFonts w:ascii="Rockwell" w:hAnsi="Rockwell"/>
        </w:rPr>
        <w:t xml:space="preserve"> a millones de campesinos en todo el mundo que </w:t>
      </w:r>
      <w:r w:rsidRPr="00F21E8E">
        <w:rPr>
          <w:rFonts w:ascii="Rockwell" w:hAnsi="Rockwell"/>
        </w:rPr>
        <w:t>va</w:t>
      </w:r>
      <w:r w:rsidR="00C4367F" w:rsidRPr="00F21E8E">
        <w:rPr>
          <w:rFonts w:ascii="Rockwell" w:hAnsi="Rockwell"/>
        </w:rPr>
        <w:t>n dando origen</w:t>
      </w:r>
      <w:r w:rsidR="0079403B" w:rsidRPr="00F21E8E">
        <w:rPr>
          <w:rFonts w:ascii="Rockwell" w:hAnsi="Rockwell"/>
        </w:rPr>
        <w:t xml:space="preserve"> a </w:t>
      </w:r>
      <w:r w:rsidRPr="00F21E8E">
        <w:rPr>
          <w:rFonts w:ascii="Rockwell" w:hAnsi="Rockwell"/>
        </w:rPr>
        <w:t>gigantescos</w:t>
      </w:r>
      <w:r w:rsidR="00C4367F" w:rsidRPr="00F21E8E">
        <w:rPr>
          <w:rFonts w:ascii="Rockwell" w:hAnsi="Rockwell"/>
        </w:rPr>
        <w:t xml:space="preserve"> </w:t>
      </w:r>
      <w:r w:rsidRPr="00F21E8E">
        <w:rPr>
          <w:rFonts w:ascii="Rockwell" w:hAnsi="Rockwell"/>
        </w:rPr>
        <w:t xml:space="preserve">conglomerados </w:t>
      </w:r>
      <w:r w:rsidR="00B81E1C" w:rsidRPr="00A62DE6">
        <w:rPr>
          <w:rFonts w:ascii="Rockwell" w:hAnsi="Rockwell"/>
        </w:rPr>
        <w:t>metropolitano</w:t>
      </w:r>
      <w:r w:rsidRPr="00A62DE6">
        <w:rPr>
          <w:rFonts w:ascii="Rockwell" w:hAnsi="Rockwell"/>
        </w:rPr>
        <w:t>s</w:t>
      </w:r>
      <w:r w:rsidR="0079403B" w:rsidRPr="00F21E8E">
        <w:rPr>
          <w:rFonts w:ascii="Rockwell" w:hAnsi="Rockwell"/>
          <w:b/>
          <w:bCs/>
        </w:rPr>
        <w:t xml:space="preserve"> </w:t>
      </w:r>
      <w:r w:rsidR="0079403B" w:rsidRPr="00F21E8E">
        <w:rPr>
          <w:rFonts w:ascii="Rockwell" w:hAnsi="Rockwell"/>
        </w:rPr>
        <w:t>en América</w:t>
      </w:r>
      <w:r w:rsidR="00481E74" w:rsidRPr="00F21E8E">
        <w:rPr>
          <w:rFonts w:ascii="Rockwell" w:hAnsi="Rockwell"/>
        </w:rPr>
        <w:t xml:space="preserve"> del Norte y del Sur</w:t>
      </w:r>
      <w:r w:rsidR="00783B9F" w:rsidRPr="00F21E8E">
        <w:rPr>
          <w:rFonts w:ascii="Rockwell" w:hAnsi="Rockwell"/>
        </w:rPr>
        <w:t>, año 2020</w:t>
      </w:r>
      <w:r w:rsidR="0079403B" w:rsidRPr="00F21E8E">
        <w:rPr>
          <w:rFonts w:ascii="Rockwell" w:hAnsi="Rockwell"/>
        </w:rPr>
        <w:t>:</w:t>
      </w:r>
      <w:r w:rsidRPr="00F21E8E">
        <w:rPr>
          <w:rFonts w:ascii="Rockwell" w:hAnsi="Rockwell"/>
        </w:rPr>
        <w:t xml:space="preserve"> </w:t>
      </w:r>
    </w:p>
    <w:p w14:paraId="2F4E7DF1" w14:textId="1EE4E4C9" w:rsidR="00623D14" w:rsidRPr="00F21E8E" w:rsidRDefault="00F21E8E" w:rsidP="00E35B9E">
      <w:pPr>
        <w:spacing w:before="120" w:after="0" w:line="240" w:lineRule="auto"/>
        <w:ind w:left="2268" w:firstLine="170"/>
        <w:jc w:val="both"/>
        <w:rPr>
          <w:rFonts w:ascii="Rockwell" w:hAnsi="Rockwell"/>
          <w:b/>
          <w:bCs/>
        </w:rPr>
      </w:pPr>
      <w:r w:rsidRPr="00F21E8E">
        <w:rPr>
          <w:rFonts w:ascii="Rockwell" w:hAnsi="Rockwell"/>
          <w:b/>
          <w:bCs/>
        </w:rPr>
        <w:t>Área metropolitana</w:t>
      </w:r>
      <w:r w:rsidR="00623D14" w:rsidRPr="00F21E8E">
        <w:rPr>
          <w:rFonts w:ascii="Rockwell" w:hAnsi="Rockwell"/>
          <w:b/>
          <w:bCs/>
        </w:rPr>
        <w:tab/>
      </w:r>
      <w:r w:rsidR="00A62DE6">
        <w:rPr>
          <w:rFonts w:ascii="Rockwell" w:hAnsi="Rockwell"/>
          <w:b/>
          <w:bCs/>
        </w:rPr>
        <w:tab/>
      </w:r>
      <w:r w:rsidR="00623D14" w:rsidRPr="00F21E8E">
        <w:rPr>
          <w:rFonts w:ascii="Rockwell" w:hAnsi="Rockwell"/>
          <w:b/>
          <w:bCs/>
        </w:rPr>
        <w:t>Habitantes (en millones)</w:t>
      </w:r>
    </w:p>
    <w:p w14:paraId="04702EEE" w14:textId="399539EC" w:rsidR="00DD542B" w:rsidRPr="00A62DE6" w:rsidRDefault="00DD542B" w:rsidP="00C02A9D">
      <w:pPr>
        <w:spacing w:before="60" w:after="0" w:line="240" w:lineRule="auto"/>
        <w:ind w:left="2268" w:firstLine="170"/>
        <w:jc w:val="both"/>
        <w:rPr>
          <w:rFonts w:ascii="Rockwell" w:hAnsi="Rockwell"/>
        </w:rPr>
      </w:pPr>
      <w:r w:rsidRPr="00A62DE6">
        <w:rPr>
          <w:rFonts w:ascii="Rockwell" w:hAnsi="Rockwell"/>
        </w:rPr>
        <w:t>Sao Paulo</w:t>
      </w:r>
      <w:r w:rsidR="008B1891" w:rsidRPr="00A62DE6">
        <w:rPr>
          <w:rFonts w:ascii="Rockwell" w:hAnsi="Rockwell"/>
        </w:rPr>
        <w:t xml:space="preserve">, </w:t>
      </w:r>
      <w:r w:rsidR="00783B9F" w:rsidRPr="00A62DE6">
        <w:rPr>
          <w:rFonts w:ascii="Rockwell" w:hAnsi="Rockwell"/>
        </w:rPr>
        <w:t>Brasil</w:t>
      </w:r>
      <w:r w:rsidRPr="00A62DE6">
        <w:rPr>
          <w:rFonts w:ascii="Rockwell" w:hAnsi="Rockwell"/>
        </w:rPr>
        <w:tab/>
      </w:r>
      <w:r w:rsidRPr="00A62DE6">
        <w:rPr>
          <w:rFonts w:ascii="Rockwell" w:hAnsi="Rockwell"/>
        </w:rPr>
        <w:tab/>
      </w:r>
      <w:r w:rsidR="002C212C" w:rsidRPr="00A62DE6">
        <w:rPr>
          <w:rFonts w:ascii="Rockwell" w:hAnsi="Rockwell"/>
        </w:rPr>
        <w:tab/>
      </w:r>
      <w:r w:rsidR="008B1891" w:rsidRPr="00A62DE6">
        <w:rPr>
          <w:rFonts w:ascii="Rockwell" w:hAnsi="Rockwell"/>
        </w:rPr>
        <w:tab/>
        <w:t xml:space="preserve"> </w:t>
      </w:r>
      <w:r w:rsidR="00E35B9E">
        <w:rPr>
          <w:rFonts w:ascii="Rockwell" w:hAnsi="Rockwell"/>
        </w:rPr>
        <w:tab/>
        <w:t xml:space="preserve"> </w:t>
      </w:r>
      <w:r w:rsidRPr="00A62DE6">
        <w:rPr>
          <w:rFonts w:ascii="Rockwell" w:hAnsi="Rockwell"/>
        </w:rPr>
        <w:t xml:space="preserve">22’6 </w:t>
      </w:r>
    </w:p>
    <w:p w14:paraId="13118B7B" w14:textId="080E7A4A" w:rsidR="00B81E1C" w:rsidRPr="00A62DE6" w:rsidRDefault="00351F63" w:rsidP="00C02A9D">
      <w:pPr>
        <w:spacing w:before="60" w:after="0" w:line="240" w:lineRule="auto"/>
        <w:ind w:left="2268" w:firstLine="170"/>
        <w:jc w:val="both"/>
        <w:rPr>
          <w:rFonts w:ascii="Rockwell" w:hAnsi="Rockwell"/>
        </w:rPr>
      </w:pPr>
      <w:r w:rsidRPr="00A62DE6">
        <w:rPr>
          <w:rFonts w:ascii="Rockwell" w:hAnsi="Rockwell"/>
        </w:rPr>
        <w:t xml:space="preserve">Ciudad de </w:t>
      </w:r>
      <w:bookmarkStart w:id="1" w:name="_Hlk177490086"/>
      <w:r w:rsidR="00F730EF" w:rsidRPr="00A62DE6">
        <w:rPr>
          <w:rFonts w:ascii="Rockwell" w:hAnsi="Rockwell"/>
        </w:rPr>
        <w:t>Méx</w:t>
      </w:r>
      <w:bookmarkEnd w:id="1"/>
      <w:r w:rsidR="00F730EF" w:rsidRPr="00A62DE6">
        <w:rPr>
          <w:rFonts w:ascii="Rockwell" w:hAnsi="Rockwell"/>
        </w:rPr>
        <w:t>ico</w:t>
      </w:r>
      <w:r w:rsidRPr="00A62DE6">
        <w:rPr>
          <w:rFonts w:ascii="Rockwell" w:hAnsi="Rockwell"/>
        </w:rPr>
        <w:t xml:space="preserve"> </w:t>
      </w:r>
      <w:bookmarkStart w:id="2" w:name="_Hlk177456017"/>
      <w:r w:rsidR="00B81E1C" w:rsidRPr="00A62DE6">
        <w:rPr>
          <w:rFonts w:ascii="Rockwell" w:hAnsi="Rockwell"/>
        </w:rPr>
        <w:tab/>
      </w:r>
      <w:r w:rsidR="00DD542B" w:rsidRPr="00A62DE6">
        <w:rPr>
          <w:rFonts w:ascii="Rockwell" w:hAnsi="Rockwell"/>
        </w:rPr>
        <w:tab/>
      </w:r>
      <w:r w:rsidR="008B1891" w:rsidRPr="00A62DE6">
        <w:rPr>
          <w:rFonts w:ascii="Rockwell" w:hAnsi="Rockwell"/>
        </w:rPr>
        <w:tab/>
      </w:r>
      <w:r w:rsidR="00F21E8E" w:rsidRPr="00A62DE6">
        <w:rPr>
          <w:rFonts w:ascii="Rockwell" w:hAnsi="Rockwell"/>
        </w:rPr>
        <w:tab/>
      </w:r>
      <w:r w:rsidR="008B1891" w:rsidRPr="00A62DE6">
        <w:rPr>
          <w:rFonts w:ascii="Rockwell" w:hAnsi="Rockwell"/>
        </w:rPr>
        <w:t xml:space="preserve"> </w:t>
      </w:r>
      <w:r w:rsidR="00FC01D1" w:rsidRPr="00A62DE6">
        <w:rPr>
          <w:rFonts w:ascii="Rockwell" w:hAnsi="Rockwell"/>
        </w:rPr>
        <w:t>22’</w:t>
      </w:r>
      <w:r w:rsidR="00DD542B" w:rsidRPr="00A62DE6">
        <w:rPr>
          <w:rFonts w:ascii="Rockwell" w:hAnsi="Rockwell"/>
        </w:rPr>
        <w:t>3</w:t>
      </w:r>
    </w:p>
    <w:bookmarkEnd w:id="2"/>
    <w:p w14:paraId="28351A71" w14:textId="7B9AE560" w:rsidR="00FC01D1" w:rsidRPr="00A62DE6" w:rsidRDefault="00DD542B" w:rsidP="00C02A9D">
      <w:pPr>
        <w:spacing w:before="60" w:after="0" w:line="240" w:lineRule="auto"/>
        <w:ind w:left="2268" w:firstLine="170"/>
        <w:jc w:val="both"/>
        <w:rPr>
          <w:rFonts w:ascii="Rockwell" w:hAnsi="Rockwell"/>
        </w:rPr>
      </w:pPr>
      <w:r w:rsidRPr="00A62DE6">
        <w:rPr>
          <w:rFonts w:ascii="Rockwell" w:hAnsi="Rockwell"/>
        </w:rPr>
        <w:t>Nueva York</w:t>
      </w:r>
      <w:r w:rsidR="00783B9F" w:rsidRPr="00A62DE6">
        <w:rPr>
          <w:rFonts w:ascii="Rockwell" w:hAnsi="Rockwell"/>
        </w:rPr>
        <w:t>, EEUU</w:t>
      </w:r>
      <w:r w:rsidR="00FC01D1" w:rsidRPr="00A62DE6">
        <w:rPr>
          <w:rFonts w:ascii="Rockwell" w:hAnsi="Rockwell"/>
        </w:rPr>
        <w:tab/>
        <w:t xml:space="preserve"> </w:t>
      </w:r>
      <w:bookmarkStart w:id="3" w:name="_Hlk177456178"/>
      <w:r w:rsidR="00B81E1C" w:rsidRPr="00A62DE6">
        <w:rPr>
          <w:rFonts w:ascii="Rockwell" w:hAnsi="Rockwell"/>
        </w:rPr>
        <w:tab/>
      </w:r>
      <w:r w:rsidR="008B1891" w:rsidRPr="00A62DE6">
        <w:rPr>
          <w:rFonts w:ascii="Rockwell" w:hAnsi="Rockwell"/>
        </w:rPr>
        <w:t xml:space="preserve"> </w:t>
      </w:r>
      <w:r w:rsidR="008B1891" w:rsidRPr="00A62DE6">
        <w:rPr>
          <w:rFonts w:ascii="Rockwell" w:hAnsi="Rockwell"/>
        </w:rPr>
        <w:tab/>
        <w:t xml:space="preserve"> </w:t>
      </w:r>
      <w:r w:rsidR="00F21E8E" w:rsidRPr="00A62DE6">
        <w:rPr>
          <w:rFonts w:ascii="Rockwell" w:hAnsi="Rockwell"/>
        </w:rPr>
        <w:tab/>
        <w:t xml:space="preserve"> </w:t>
      </w:r>
      <w:r w:rsidR="00FC01D1" w:rsidRPr="00A62DE6">
        <w:rPr>
          <w:rFonts w:ascii="Rockwell" w:hAnsi="Rockwell"/>
        </w:rPr>
        <w:t xml:space="preserve">22’1 </w:t>
      </w:r>
      <w:bookmarkEnd w:id="3"/>
    </w:p>
    <w:p w14:paraId="220C71E5" w14:textId="7B52AD29" w:rsidR="00FC01D1" w:rsidRPr="00A62DE6" w:rsidRDefault="00FC01D1" w:rsidP="00C02A9D">
      <w:pPr>
        <w:spacing w:before="60" w:after="0" w:line="240" w:lineRule="auto"/>
        <w:ind w:left="2268" w:firstLine="170"/>
        <w:jc w:val="both"/>
        <w:rPr>
          <w:rFonts w:ascii="Rockwell" w:hAnsi="Rockwell"/>
        </w:rPr>
      </w:pPr>
      <w:r w:rsidRPr="00A62DE6">
        <w:rPr>
          <w:rFonts w:ascii="Rockwell" w:hAnsi="Rockwell"/>
        </w:rPr>
        <w:t xml:space="preserve">Los </w:t>
      </w:r>
      <w:r w:rsidR="00DD542B" w:rsidRPr="00A62DE6">
        <w:rPr>
          <w:rFonts w:ascii="Rockwell" w:hAnsi="Rockwell"/>
        </w:rPr>
        <w:t>Á</w:t>
      </w:r>
      <w:r w:rsidRPr="00A62DE6">
        <w:rPr>
          <w:rFonts w:ascii="Rockwell" w:hAnsi="Rockwell"/>
        </w:rPr>
        <w:t>ngeles</w:t>
      </w:r>
      <w:r w:rsidR="00783B9F" w:rsidRPr="00A62DE6">
        <w:rPr>
          <w:rFonts w:ascii="Rockwell" w:hAnsi="Rockwell"/>
        </w:rPr>
        <w:t>, EEUU</w:t>
      </w:r>
      <w:r w:rsidRPr="00A62DE6">
        <w:rPr>
          <w:rFonts w:ascii="Rockwell" w:hAnsi="Rockwell"/>
        </w:rPr>
        <w:tab/>
      </w:r>
      <w:r w:rsidR="00B81E1C" w:rsidRPr="00A62DE6">
        <w:rPr>
          <w:rFonts w:ascii="Rockwell" w:hAnsi="Rockwell"/>
        </w:rPr>
        <w:tab/>
      </w:r>
      <w:r w:rsidR="008B1891" w:rsidRPr="00A62DE6">
        <w:rPr>
          <w:rFonts w:ascii="Rockwell" w:hAnsi="Rockwell"/>
        </w:rPr>
        <w:t xml:space="preserve"> </w:t>
      </w:r>
      <w:r w:rsidR="008B1891" w:rsidRPr="00A62DE6">
        <w:rPr>
          <w:rFonts w:ascii="Rockwell" w:hAnsi="Rockwell"/>
        </w:rPr>
        <w:tab/>
        <w:t xml:space="preserve"> </w:t>
      </w:r>
      <w:r w:rsidR="00F21E8E" w:rsidRPr="00A62DE6">
        <w:rPr>
          <w:rFonts w:ascii="Rockwell" w:hAnsi="Rockwell"/>
        </w:rPr>
        <w:tab/>
        <w:t xml:space="preserve"> </w:t>
      </w:r>
      <w:r w:rsidRPr="00A62DE6">
        <w:rPr>
          <w:rFonts w:ascii="Rockwell" w:hAnsi="Rockwell"/>
        </w:rPr>
        <w:t>18’</w:t>
      </w:r>
      <w:r w:rsidR="00726D3C" w:rsidRPr="00A62DE6">
        <w:rPr>
          <w:rFonts w:ascii="Rockwell" w:hAnsi="Rockwell"/>
        </w:rPr>
        <w:t>7</w:t>
      </w:r>
      <w:r w:rsidRPr="00A62DE6">
        <w:rPr>
          <w:rFonts w:ascii="Rockwell" w:hAnsi="Rockwell"/>
        </w:rPr>
        <w:t xml:space="preserve"> </w:t>
      </w:r>
    </w:p>
    <w:p w14:paraId="009ED949" w14:textId="2306BFD7" w:rsidR="00F730EF" w:rsidRPr="00A62DE6" w:rsidRDefault="00F730EF" w:rsidP="00C02A9D">
      <w:pPr>
        <w:spacing w:before="60" w:after="0" w:line="240" w:lineRule="auto"/>
        <w:ind w:left="2268" w:firstLine="170"/>
        <w:jc w:val="both"/>
        <w:rPr>
          <w:rFonts w:ascii="Rockwell" w:hAnsi="Rockwell"/>
        </w:rPr>
      </w:pPr>
      <w:r w:rsidRPr="00A62DE6">
        <w:rPr>
          <w:rFonts w:ascii="Rockwell" w:hAnsi="Rockwell"/>
        </w:rPr>
        <w:t>Buenos Aires</w:t>
      </w:r>
      <w:r w:rsidR="008B1891" w:rsidRPr="00A62DE6">
        <w:rPr>
          <w:rFonts w:ascii="Rockwell" w:hAnsi="Rockwell"/>
        </w:rPr>
        <w:t>, Arg</w:t>
      </w:r>
      <w:r w:rsidR="00F21E8E" w:rsidRPr="00A62DE6">
        <w:rPr>
          <w:rFonts w:ascii="Rockwell" w:hAnsi="Rockwell"/>
        </w:rPr>
        <w:t>entina</w:t>
      </w:r>
      <w:r w:rsidR="00B81E1C" w:rsidRPr="00A62DE6">
        <w:rPr>
          <w:rFonts w:ascii="Rockwell" w:hAnsi="Rockwell"/>
        </w:rPr>
        <w:tab/>
      </w:r>
      <w:r w:rsidR="002C212C" w:rsidRPr="00A62DE6">
        <w:rPr>
          <w:rFonts w:ascii="Rockwell" w:hAnsi="Rockwell"/>
        </w:rPr>
        <w:tab/>
      </w:r>
      <w:r w:rsidR="008B1891" w:rsidRPr="00A62DE6">
        <w:rPr>
          <w:rFonts w:ascii="Rockwell" w:hAnsi="Rockwell"/>
        </w:rPr>
        <w:t xml:space="preserve"> </w:t>
      </w:r>
      <w:r w:rsidR="008B1891" w:rsidRPr="00A62DE6">
        <w:rPr>
          <w:rFonts w:ascii="Rockwell" w:hAnsi="Rockwell"/>
        </w:rPr>
        <w:tab/>
      </w:r>
      <w:r w:rsidR="00E35B9E">
        <w:rPr>
          <w:rFonts w:ascii="Rockwell" w:hAnsi="Rockwell"/>
        </w:rPr>
        <w:tab/>
      </w:r>
      <w:r w:rsidR="00F21E8E" w:rsidRPr="00A62DE6">
        <w:rPr>
          <w:rFonts w:ascii="Rockwell" w:hAnsi="Rockwell"/>
        </w:rPr>
        <w:t xml:space="preserve"> </w:t>
      </w:r>
      <w:r w:rsidR="00EF0367" w:rsidRPr="00A62DE6">
        <w:rPr>
          <w:rFonts w:ascii="Rockwell" w:hAnsi="Rockwell"/>
        </w:rPr>
        <w:t>15’</w:t>
      </w:r>
      <w:r w:rsidR="00DD542B" w:rsidRPr="00A62DE6">
        <w:rPr>
          <w:rFonts w:ascii="Rockwell" w:hAnsi="Rockwell"/>
        </w:rPr>
        <w:t>7</w:t>
      </w:r>
      <w:r w:rsidR="00EF0367" w:rsidRPr="00A62DE6">
        <w:rPr>
          <w:rFonts w:ascii="Rockwell" w:hAnsi="Rockwell"/>
        </w:rPr>
        <w:t xml:space="preserve"> </w:t>
      </w:r>
    </w:p>
    <w:p w14:paraId="7579B885" w14:textId="0970AE1C" w:rsidR="00B81E1C" w:rsidRPr="00A62DE6" w:rsidRDefault="00B81E1C" w:rsidP="00C02A9D">
      <w:pPr>
        <w:spacing w:before="60" w:after="0" w:line="240" w:lineRule="auto"/>
        <w:ind w:left="2268" w:firstLine="170"/>
        <w:jc w:val="both"/>
        <w:rPr>
          <w:rFonts w:ascii="Rockwell" w:hAnsi="Rockwell"/>
        </w:rPr>
      </w:pPr>
      <w:r w:rsidRPr="00A62DE6">
        <w:rPr>
          <w:rFonts w:ascii="Rockwell" w:hAnsi="Rockwell"/>
        </w:rPr>
        <w:t>Rio de Janeiro</w:t>
      </w:r>
      <w:r w:rsidR="008B1891" w:rsidRPr="00A62DE6">
        <w:rPr>
          <w:rFonts w:ascii="Rockwell" w:hAnsi="Rockwell"/>
        </w:rPr>
        <w:t xml:space="preserve">, </w:t>
      </w:r>
      <w:r w:rsidR="00783B9F" w:rsidRPr="00A62DE6">
        <w:rPr>
          <w:rFonts w:ascii="Rockwell" w:hAnsi="Rockwell"/>
        </w:rPr>
        <w:t>Bra</w:t>
      </w:r>
      <w:r w:rsidR="00F21E8E" w:rsidRPr="00A62DE6">
        <w:rPr>
          <w:rFonts w:ascii="Rockwell" w:hAnsi="Rockwell"/>
        </w:rPr>
        <w:t>sil</w:t>
      </w:r>
      <w:r w:rsidRPr="00A62DE6">
        <w:rPr>
          <w:rFonts w:ascii="Rockwell" w:hAnsi="Rockwell"/>
        </w:rPr>
        <w:tab/>
      </w:r>
      <w:r w:rsidR="002C212C" w:rsidRPr="00A62DE6">
        <w:rPr>
          <w:rFonts w:ascii="Rockwell" w:hAnsi="Rockwell"/>
        </w:rPr>
        <w:tab/>
      </w:r>
      <w:r w:rsidR="008B1891" w:rsidRPr="00A62DE6">
        <w:rPr>
          <w:rFonts w:ascii="Rockwell" w:hAnsi="Rockwell"/>
        </w:rPr>
        <w:t xml:space="preserve"> </w:t>
      </w:r>
      <w:r w:rsidR="008B1891" w:rsidRPr="00A62DE6">
        <w:rPr>
          <w:rFonts w:ascii="Rockwell" w:hAnsi="Rockwell"/>
        </w:rPr>
        <w:tab/>
      </w:r>
      <w:r w:rsidR="00E35B9E">
        <w:rPr>
          <w:rFonts w:ascii="Rockwell" w:hAnsi="Rockwell"/>
        </w:rPr>
        <w:tab/>
      </w:r>
      <w:r w:rsidR="008B1891" w:rsidRPr="00A62DE6">
        <w:rPr>
          <w:rFonts w:ascii="Rockwell" w:hAnsi="Rockwell"/>
        </w:rPr>
        <w:t xml:space="preserve"> </w:t>
      </w:r>
      <w:r w:rsidRPr="00A62DE6">
        <w:rPr>
          <w:rFonts w:ascii="Rockwell" w:hAnsi="Rockwell"/>
        </w:rPr>
        <w:t>13’7</w:t>
      </w:r>
    </w:p>
    <w:p w14:paraId="3DD1E01D" w14:textId="23F82C9F" w:rsidR="00F730EF" w:rsidRPr="00A62DE6" w:rsidRDefault="00791850" w:rsidP="00C02A9D">
      <w:pPr>
        <w:spacing w:before="60" w:after="0" w:line="240" w:lineRule="auto"/>
        <w:ind w:left="2268" w:firstLine="170"/>
        <w:jc w:val="both"/>
        <w:rPr>
          <w:rFonts w:ascii="Rockwell" w:hAnsi="Rockwell"/>
        </w:rPr>
      </w:pPr>
      <w:r w:rsidRPr="00A62DE6">
        <w:rPr>
          <w:rFonts w:ascii="Rockwell" w:hAnsi="Rockwell"/>
        </w:rPr>
        <w:t>Bogotá</w:t>
      </w:r>
      <w:r w:rsidR="008B1891" w:rsidRPr="00A62DE6">
        <w:rPr>
          <w:rFonts w:ascii="Rockwell" w:hAnsi="Rockwell"/>
        </w:rPr>
        <w:t xml:space="preserve">, </w:t>
      </w:r>
      <w:r w:rsidR="00783B9F" w:rsidRPr="00A62DE6">
        <w:rPr>
          <w:rFonts w:ascii="Rockwell" w:hAnsi="Rockwell"/>
        </w:rPr>
        <w:t>Colombia</w:t>
      </w:r>
      <w:r w:rsidR="00B81E1C" w:rsidRPr="00A62DE6">
        <w:rPr>
          <w:rFonts w:ascii="Rockwell" w:hAnsi="Rockwell"/>
        </w:rPr>
        <w:tab/>
      </w:r>
      <w:r w:rsidR="002C212C" w:rsidRPr="00A62DE6">
        <w:rPr>
          <w:rFonts w:ascii="Rockwell" w:hAnsi="Rockwell"/>
        </w:rPr>
        <w:tab/>
      </w:r>
      <w:r w:rsidR="008B1891" w:rsidRPr="00A62DE6">
        <w:rPr>
          <w:rFonts w:ascii="Rockwell" w:hAnsi="Rockwell"/>
        </w:rPr>
        <w:t xml:space="preserve"> </w:t>
      </w:r>
      <w:r w:rsidR="008B1891" w:rsidRPr="00A62DE6">
        <w:rPr>
          <w:rFonts w:ascii="Rockwell" w:hAnsi="Rockwell"/>
        </w:rPr>
        <w:tab/>
        <w:t xml:space="preserve"> </w:t>
      </w:r>
      <w:r w:rsidR="00F21E8E" w:rsidRPr="00A62DE6">
        <w:rPr>
          <w:rFonts w:ascii="Rockwell" w:hAnsi="Rockwell"/>
        </w:rPr>
        <w:tab/>
        <w:t xml:space="preserve"> </w:t>
      </w:r>
      <w:r w:rsidRPr="00A62DE6">
        <w:rPr>
          <w:rFonts w:ascii="Rockwell" w:hAnsi="Rockwell"/>
        </w:rPr>
        <w:t>1</w:t>
      </w:r>
      <w:r w:rsidR="00EF0367" w:rsidRPr="00A62DE6">
        <w:rPr>
          <w:rFonts w:ascii="Rockwell" w:hAnsi="Rockwell"/>
        </w:rPr>
        <w:t>1</w:t>
      </w:r>
      <w:r w:rsidRPr="00A62DE6">
        <w:rPr>
          <w:rFonts w:ascii="Rockwell" w:hAnsi="Rockwell"/>
        </w:rPr>
        <w:t>’</w:t>
      </w:r>
      <w:r w:rsidR="00EF0367" w:rsidRPr="00A62DE6">
        <w:rPr>
          <w:rFonts w:ascii="Rockwell" w:hAnsi="Rockwell"/>
        </w:rPr>
        <w:t>5</w:t>
      </w:r>
      <w:r w:rsidR="00F730EF" w:rsidRPr="00A62DE6">
        <w:rPr>
          <w:rFonts w:ascii="Rockwell" w:hAnsi="Rockwell"/>
        </w:rPr>
        <w:tab/>
      </w:r>
    </w:p>
    <w:p w14:paraId="7FF87358" w14:textId="1D0956E5" w:rsidR="00F730EF" w:rsidRPr="00A62DE6" w:rsidRDefault="00351F63" w:rsidP="00C02A9D">
      <w:pPr>
        <w:spacing w:before="60" w:after="0" w:line="240" w:lineRule="auto"/>
        <w:ind w:left="2268" w:firstLine="170"/>
        <w:jc w:val="both"/>
        <w:rPr>
          <w:rFonts w:ascii="Rockwell" w:hAnsi="Rockwell"/>
        </w:rPr>
      </w:pPr>
      <w:r w:rsidRPr="00A62DE6">
        <w:rPr>
          <w:rFonts w:ascii="Rockwell" w:hAnsi="Rockwell"/>
        </w:rPr>
        <w:t>Lima</w:t>
      </w:r>
      <w:r w:rsidR="008B1891" w:rsidRPr="00A62DE6">
        <w:rPr>
          <w:rFonts w:ascii="Rockwell" w:hAnsi="Rockwell"/>
        </w:rPr>
        <w:t>, Per</w:t>
      </w:r>
      <w:r w:rsidR="00783B9F" w:rsidRPr="00A62DE6">
        <w:rPr>
          <w:rFonts w:ascii="Rockwell" w:hAnsi="Rockwell"/>
        </w:rPr>
        <w:t>ú</w:t>
      </w:r>
      <w:r w:rsidR="00F730EF" w:rsidRPr="00A62DE6">
        <w:rPr>
          <w:rFonts w:ascii="Rockwell" w:hAnsi="Rockwell"/>
        </w:rPr>
        <w:tab/>
      </w:r>
      <w:r w:rsidR="00F730EF" w:rsidRPr="00A62DE6">
        <w:rPr>
          <w:rFonts w:ascii="Rockwell" w:hAnsi="Rockwell"/>
        </w:rPr>
        <w:tab/>
      </w:r>
      <w:r w:rsidR="00B81E1C" w:rsidRPr="00A62DE6">
        <w:rPr>
          <w:rFonts w:ascii="Rockwell" w:hAnsi="Rockwell"/>
        </w:rPr>
        <w:tab/>
      </w:r>
      <w:r w:rsidR="002C212C" w:rsidRPr="00A62DE6">
        <w:rPr>
          <w:rFonts w:ascii="Rockwell" w:hAnsi="Rockwell"/>
        </w:rPr>
        <w:tab/>
      </w:r>
      <w:r w:rsidR="008B1891" w:rsidRPr="00A62DE6">
        <w:rPr>
          <w:rFonts w:ascii="Rockwell" w:hAnsi="Rockwell"/>
        </w:rPr>
        <w:t xml:space="preserve"> </w:t>
      </w:r>
      <w:r w:rsidR="008B1891" w:rsidRPr="00A62DE6">
        <w:rPr>
          <w:rFonts w:ascii="Rockwell" w:hAnsi="Rockwell"/>
        </w:rPr>
        <w:tab/>
        <w:t xml:space="preserve"> </w:t>
      </w:r>
      <w:r w:rsidR="00E35B9E">
        <w:rPr>
          <w:rFonts w:ascii="Rockwell" w:hAnsi="Rockwell"/>
        </w:rPr>
        <w:tab/>
        <w:t xml:space="preserve"> </w:t>
      </w:r>
      <w:r w:rsidR="00F730EF" w:rsidRPr="00A62DE6">
        <w:rPr>
          <w:rFonts w:ascii="Rockwell" w:hAnsi="Rockwell"/>
        </w:rPr>
        <w:t>1</w:t>
      </w:r>
      <w:r w:rsidR="00EF0367" w:rsidRPr="00A62DE6">
        <w:rPr>
          <w:rFonts w:ascii="Rockwell" w:hAnsi="Rockwell"/>
        </w:rPr>
        <w:t>1</w:t>
      </w:r>
      <w:r w:rsidR="00F730EF" w:rsidRPr="00A62DE6">
        <w:rPr>
          <w:rFonts w:ascii="Rockwell" w:hAnsi="Rockwell"/>
        </w:rPr>
        <w:t>’</w:t>
      </w:r>
      <w:r w:rsidR="00EF0367" w:rsidRPr="00A62DE6">
        <w:rPr>
          <w:rFonts w:ascii="Rockwell" w:hAnsi="Rockwell"/>
        </w:rPr>
        <w:t>2</w:t>
      </w:r>
    </w:p>
    <w:p w14:paraId="7E6604C4" w14:textId="50962574" w:rsidR="00C4367F" w:rsidRPr="00A62DE6" w:rsidRDefault="00351F63" w:rsidP="00C02A9D">
      <w:pPr>
        <w:spacing w:before="60" w:after="0" w:line="240" w:lineRule="auto"/>
        <w:ind w:left="2268" w:firstLine="170"/>
        <w:jc w:val="both"/>
        <w:rPr>
          <w:rFonts w:ascii="Rockwell" w:hAnsi="Rockwell"/>
        </w:rPr>
      </w:pPr>
      <w:r w:rsidRPr="00A62DE6">
        <w:rPr>
          <w:rFonts w:ascii="Rockwell" w:hAnsi="Rockwell"/>
        </w:rPr>
        <w:t>Santiago</w:t>
      </w:r>
      <w:r w:rsidR="008B1891" w:rsidRPr="00A62DE6">
        <w:rPr>
          <w:rFonts w:ascii="Rockwell" w:hAnsi="Rockwell"/>
        </w:rPr>
        <w:t>,</w:t>
      </w:r>
      <w:r w:rsidRPr="00A62DE6">
        <w:rPr>
          <w:rFonts w:ascii="Rockwell" w:hAnsi="Rockwell"/>
        </w:rPr>
        <w:t xml:space="preserve"> Chi</w:t>
      </w:r>
      <w:r w:rsidR="00783B9F" w:rsidRPr="00A62DE6">
        <w:rPr>
          <w:rFonts w:ascii="Rockwell" w:hAnsi="Rockwell"/>
        </w:rPr>
        <w:t>le</w:t>
      </w:r>
      <w:r w:rsidR="00F730EF" w:rsidRPr="00A62DE6">
        <w:rPr>
          <w:rFonts w:ascii="Rockwell" w:hAnsi="Rockwell"/>
        </w:rPr>
        <w:tab/>
      </w:r>
      <w:r w:rsidR="008B1891" w:rsidRPr="00A62DE6">
        <w:rPr>
          <w:rFonts w:ascii="Rockwell" w:hAnsi="Rockwell"/>
        </w:rPr>
        <w:tab/>
        <w:t xml:space="preserve">   </w:t>
      </w:r>
      <w:r w:rsidR="008B1891" w:rsidRPr="00A62DE6">
        <w:rPr>
          <w:rFonts w:ascii="Rockwell" w:hAnsi="Rockwell"/>
        </w:rPr>
        <w:tab/>
        <w:t xml:space="preserve">   </w:t>
      </w:r>
      <w:r w:rsidR="008B1891" w:rsidRPr="00A62DE6">
        <w:rPr>
          <w:rFonts w:ascii="Rockwell" w:hAnsi="Rockwell"/>
        </w:rPr>
        <w:tab/>
        <w:t xml:space="preserve"> </w:t>
      </w:r>
      <w:r w:rsidR="00E35B9E">
        <w:rPr>
          <w:rFonts w:ascii="Rockwell" w:hAnsi="Rockwell"/>
        </w:rPr>
        <w:tab/>
        <w:t xml:space="preserve"> </w:t>
      </w:r>
      <w:r w:rsidR="008B1891" w:rsidRPr="00A62DE6">
        <w:rPr>
          <w:rFonts w:ascii="Rockwell" w:hAnsi="Rockwell"/>
        </w:rPr>
        <w:t xml:space="preserve">  6</w:t>
      </w:r>
      <w:r w:rsidR="00F730EF" w:rsidRPr="00A62DE6">
        <w:rPr>
          <w:rFonts w:ascii="Rockwell" w:hAnsi="Rockwell"/>
        </w:rPr>
        <w:t>’</w:t>
      </w:r>
      <w:r w:rsidR="00EF0367" w:rsidRPr="00A62DE6">
        <w:rPr>
          <w:rFonts w:ascii="Rockwell" w:hAnsi="Rockwell"/>
        </w:rPr>
        <w:t>9</w:t>
      </w:r>
    </w:p>
    <w:p w14:paraId="3BBA9686" w14:textId="3DF43B9E" w:rsidR="00791850" w:rsidRPr="00A62DE6" w:rsidRDefault="00791850" w:rsidP="00C02A9D">
      <w:pPr>
        <w:spacing w:before="60" w:after="0" w:line="240" w:lineRule="auto"/>
        <w:ind w:left="2268" w:firstLine="170"/>
        <w:jc w:val="both"/>
        <w:rPr>
          <w:rFonts w:ascii="Rockwell" w:hAnsi="Rockwell"/>
        </w:rPr>
      </w:pPr>
      <w:r w:rsidRPr="00A62DE6">
        <w:rPr>
          <w:rFonts w:ascii="Rockwell" w:hAnsi="Rockwell"/>
        </w:rPr>
        <w:t>Belo Horizonte</w:t>
      </w:r>
      <w:r w:rsidR="008B1891" w:rsidRPr="00A62DE6">
        <w:rPr>
          <w:rFonts w:ascii="Rockwell" w:hAnsi="Rockwell"/>
        </w:rPr>
        <w:t xml:space="preserve">, </w:t>
      </w:r>
      <w:r w:rsidR="00783B9F" w:rsidRPr="00A62DE6">
        <w:rPr>
          <w:rFonts w:ascii="Rockwell" w:hAnsi="Rockwell"/>
        </w:rPr>
        <w:t>Bra</w:t>
      </w:r>
      <w:r w:rsidR="00F21E8E" w:rsidRPr="00A62DE6">
        <w:rPr>
          <w:rFonts w:ascii="Rockwell" w:hAnsi="Rockwell"/>
        </w:rPr>
        <w:t>sil</w:t>
      </w:r>
      <w:r w:rsidR="00DD542B" w:rsidRPr="00A62DE6">
        <w:rPr>
          <w:rFonts w:ascii="Rockwell" w:hAnsi="Rockwell"/>
        </w:rPr>
        <w:tab/>
      </w:r>
      <w:r w:rsidR="008B1891" w:rsidRPr="00A62DE6">
        <w:rPr>
          <w:rFonts w:ascii="Rockwell" w:hAnsi="Rockwell"/>
        </w:rPr>
        <w:tab/>
        <w:t xml:space="preserve">  </w:t>
      </w:r>
      <w:r w:rsidR="008B1891" w:rsidRPr="00A62DE6">
        <w:rPr>
          <w:rFonts w:ascii="Rockwell" w:hAnsi="Rockwell"/>
        </w:rPr>
        <w:tab/>
        <w:t xml:space="preserve">  </w:t>
      </w:r>
      <w:r w:rsidR="00E35B9E">
        <w:rPr>
          <w:rFonts w:ascii="Rockwell" w:hAnsi="Rockwell"/>
        </w:rPr>
        <w:tab/>
        <w:t xml:space="preserve">  </w:t>
      </w:r>
      <w:r w:rsidR="008B1891" w:rsidRPr="00A62DE6">
        <w:rPr>
          <w:rFonts w:ascii="Rockwell" w:hAnsi="Rockwell"/>
        </w:rPr>
        <w:t xml:space="preserve"> 6</w:t>
      </w:r>
      <w:r w:rsidRPr="00A62DE6">
        <w:rPr>
          <w:rFonts w:ascii="Rockwell" w:hAnsi="Rockwell"/>
        </w:rPr>
        <w:t>’</w:t>
      </w:r>
      <w:r w:rsidR="00DD542B" w:rsidRPr="00A62DE6">
        <w:rPr>
          <w:rFonts w:ascii="Rockwell" w:hAnsi="Rockwell"/>
        </w:rPr>
        <w:t>2</w:t>
      </w:r>
    </w:p>
    <w:p w14:paraId="7FE45730" w14:textId="10EDAF45" w:rsidR="00B81E1C" w:rsidRPr="00A62DE6" w:rsidRDefault="00B81E1C" w:rsidP="00C02A9D">
      <w:pPr>
        <w:spacing w:before="60" w:after="0" w:line="240" w:lineRule="auto"/>
        <w:ind w:left="2268" w:firstLine="170"/>
        <w:jc w:val="both"/>
        <w:rPr>
          <w:rFonts w:ascii="Rockwell" w:hAnsi="Rockwell"/>
        </w:rPr>
      </w:pPr>
      <w:r w:rsidRPr="00A62DE6">
        <w:rPr>
          <w:rFonts w:ascii="Rockwell" w:hAnsi="Rockwell"/>
        </w:rPr>
        <w:t>Toronto</w:t>
      </w:r>
      <w:r w:rsidR="008B1891" w:rsidRPr="00A62DE6">
        <w:rPr>
          <w:rFonts w:ascii="Rockwell" w:hAnsi="Rockwell"/>
        </w:rPr>
        <w:t>, Can</w:t>
      </w:r>
      <w:r w:rsidR="00783B9F" w:rsidRPr="00A62DE6">
        <w:rPr>
          <w:rFonts w:ascii="Rockwell" w:hAnsi="Rockwell"/>
        </w:rPr>
        <w:t>adá</w:t>
      </w:r>
      <w:r w:rsidRPr="00A62DE6">
        <w:rPr>
          <w:rFonts w:ascii="Rockwell" w:hAnsi="Rockwell"/>
        </w:rPr>
        <w:tab/>
      </w:r>
      <w:r w:rsidRPr="00A62DE6">
        <w:rPr>
          <w:rFonts w:ascii="Rockwell" w:hAnsi="Rockwell"/>
        </w:rPr>
        <w:tab/>
      </w:r>
      <w:r w:rsidR="00DD542B" w:rsidRPr="00A62DE6">
        <w:rPr>
          <w:rFonts w:ascii="Rockwell" w:hAnsi="Rockwell"/>
        </w:rPr>
        <w:tab/>
      </w:r>
      <w:r w:rsidR="008B1891" w:rsidRPr="00A62DE6">
        <w:rPr>
          <w:rFonts w:ascii="Rockwell" w:hAnsi="Rockwell"/>
        </w:rPr>
        <w:tab/>
        <w:t xml:space="preserve">  </w:t>
      </w:r>
      <w:r w:rsidR="00E35B9E">
        <w:rPr>
          <w:rFonts w:ascii="Rockwell" w:hAnsi="Rockwell"/>
        </w:rPr>
        <w:tab/>
        <w:t xml:space="preserve">  </w:t>
      </w:r>
      <w:r w:rsidR="008B1891" w:rsidRPr="00A62DE6">
        <w:rPr>
          <w:rFonts w:ascii="Rockwell" w:hAnsi="Rockwell"/>
        </w:rPr>
        <w:t xml:space="preserve"> 6</w:t>
      </w:r>
      <w:r w:rsidRPr="00A62DE6">
        <w:rPr>
          <w:rFonts w:ascii="Rockwell" w:hAnsi="Rockwell"/>
        </w:rPr>
        <w:t xml:space="preserve">’2 </w:t>
      </w:r>
    </w:p>
    <w:p w14:paraId="6E45ABEB" w14:textId="50F55A78" w:rsidR="00B81E1C" w:rsidRPr="00A62DE6" w:rsidRDefault="00B81E1C" w:rsidP="00C02A9D">
      <w:pPr>
        <w:spacing w:before="60" w:after="0" w:line="240" w:lineRule="auto"/>
        <w:ind w:left="2268" w:firstLine="170"/>
        <w:jc w:val="both"/>
        <w:rPr>
          <w:rFonts w:ascii="Rockwell" w:hAnsi="Rockwell"/>
        </w:rPr>
      </w:pPr>
      <w:r w:rsidRPr="00A62DE6">
        <w:rPr>
          <w:rFonts w:ascii="Rockwell" w:hAnsi="Rockwell"/>
        </w:rPr>
        <w:t>Guadalajara</w:t>
      </w:r>
      <w:r w:rsidR="008B1891" w:rsidRPr="00A62DE6">
        <w:rPr>
          <w:rFonts w:ascii="Rockwell" w:hAnsi="Rockwell"/>
        </w:rPr>
        <w:t xml:space="preserve">, </w:t>
      </w:r>
      <w:r w:rsidR="00783B9F" w:rsidRPr="00A62DE6">
        <w:rPr>
          <w:rFonts w:ascii="Rockwell" w:hAnsi="Rockwell"/>
        </w:rPr>
        <w:t>Méx</w:t>
      </w:r>
      <w:r w:rsidR="00F21E8E" w:rsidRPr="00A62DE6">
        <w:rPr>
          <w:rFonts w:ascii="Rockwell" w:hAnsi="Rockwell"/>
        </w:rPr>
        <w:t>ico</w:t>
      </w:r>
      <w:r w:rsidRPr="00A62DE6">
        <w:rPr>
          <w:rFonts w:ascii="Rockwell" w:hAnsi="Rockwell"/>
        </w:rPr>
        <w:tab/>
      </w:r>
      <w:r w:rsidRPr="00A62DE6">
        <w:rPr>
          <w:rFonts w:ascii="Rockwell" w:hAnsi="Rockwell"/>
        </w:rPr>
        <w:tab/>
      </w:r>
      <w:r w:rsidR="008B1891" w:rsidRPr="00A62DE6">
        <w:rPr>
          <w:rFonts w:ascii="Rockwell" w:hAnsi="Rockwell"/>
        </w:rPr>
        <w:tab/>
        <w:t xml:space="preserve">  </w:t>
      </w:r>
      <w:r w:rsidR="00E35B9E">
        <w:rPr>
          <w:rFonts w:ascii="Rockwell" w:hAnsi="Rockwell"/>
        </w:rPr>
        <w:tab/>
        <w:t xml:space="preserve">  </w:t>
      </w:r>
      <w:r w:rsidR="00F21E8E" w:rsidRPr="00A62DE6">
        <w:rPr>
          <w:rFonts w:ascii="Rockwell" w:hAnsi="Rockwell"/>
        </w:rPr>
        <w:t xml:space="preserve"> </w:t>
      </w:r>
      <w:r w:rsidR="008B1891" w:rsidRPr="00A62DE6">
        <w:rPr>
          <w:rFonts w:ascii="Rockwell" w:hAnsi="Rockwell"/>
        </w:rPr>
        <w:t>5</w:t>
      </w:r>
      <w:r w:rsidRPr="00A62DE6">
        <w:rPr>
          <w:rFonts w:ascii="Rockwell" w:hAnsi="Rockwell"/>
        </w:rPr>
        <w:t>’4</w:t>
      </w:r>
    </w:p>
    <w:p w14:paraId="31A46CE7" w14:textId="3C55F50B" w:rsidR="00DD542B" w:rsidRPr="00A62DE6" w:rsidRDefault="00DD542B" w:rsidP="00C02A9D">
      <w:pPr>
        <w:spacing w:before="60" w:after="0" w:line="240" w:lineRule="auto"/>
        <w:ind w:left="2268" w:firstLine="170"/>
        <w:jc w:val="both"/>
        <w:rPr>
          <w:rFonts w:ascii="Rockwell" w:hAnsi="Rockwell"/>
        </w:rPr>
      </w:pPr>
      <w:r w:rsidRPr="00A62DE6">
        <w:rPr>
          <w:rFonts w:ascii="Rockwell" w:hAnsi="Rockwell"/>
        </w:rPr>
        <w:t>Monterrey</w:t>
      </w:r>
      <w:r w:rsidR="008B1891" w:rsidRPr="00A62DE6">
        <w:rPr>
          <w:rFonts w:ascii="Rockwell" w:hAnsi="Rockwell"/>
        </w:rPr>
        <w:t xml:space="preserve">, </w:t>
      </w:r>
      <w:r w:rsidR="00783B9F" w:rsidRPr="00A62DE6">
        <w:rPr>
          <w:rFonts w:ascii="Rockwell" w:hAnsi="Rockwell"/>
        </w:rPr>
        <w:t>Méx</w:t>
      </w:r>
      <w:r w:rsidR="00F21E8E" w:rsidRPr="00A62DE6">
        <w:rPr>
          <w:rFonts w:ascii="Rockwell" w:hAnsi="Rockwell"/>
        </w:rPr>
        <w:t>ico</w:t>
      </w:r>
      <w:r w:rsidRPr="00A62DE6">
        <w:rPr>
          <w:rFonts w:ascii="Rockwell" w:hAnsi="Rockwell"/>
        </w:rPr>
        <w:tab/>
      </w:r>
      <w:r w:rsidRPr="00A62DE6">
        <w:rPr>
          <w:rFonts w:ascii="Rockwell" w:hAnsi="Rockwell"/>
        </w:rPr>
        <w:tab/>
      </w:r>
      <w:r w:rsidRPr="00A62DE6">
        <w:rPr>
          <w:rFonts w:ascii="Rockwell" w:hAnsi="Rockwell"/>
        </w:rPr>
        <w:tab/>
      </w:r>
      <w:r w:rsidR="008B1891" w:rsidRPr="00A62DE6">
        <w:rPr>
          <w:rFonts w:ascii="Rockwell" w:hAnsi="Rockwell"/>
        </w:rPr>
        <w:tab/>
        <w:t xml:space="preserve">   5</w:t>
      </w:r>
      <w:r w:rsidRPr="00A62DE6">
        <w:rPr>
          <w:rFonts w:ascii="Rockwell" w:hAnsi="Rockwell"/>
        </w:rPr>
        <w:t>’1</w:t>
      </w:r>
    </w:p>
    <w:p w14:paraId="78231C69" w14:textId="21B3EEF1" w:rsidR="00791850" w:rsidRPr="00A62DE6" w:rsidRDefault="00E35B9E" w:rsidP="00C02A9D">
      <w:pPr>
        <w:spacing w:before="60" w:after="0" w:line="240" w:lineRule="auto"/>
        <w:ind w:left="2268" w:firstLine="170"/>
        <w:jc w:val="both"/>
        <w:rPr>
          <w:rFonts w:ascii="Rockwell" w:hAnsi="Rockwell"/>
        </w:rPr>
      </w:pPr>
      <w:r w:rsidRPr="00A62DE6">
        <w:rPr>
          <w:rFonts w:ascii="Rockwell" w:hAnsi="Rockwell"/>
        </w:rPr>
        <w:t>Brasilia</w:t>
      </w:r>
      <w:r w:rsidR="008B1891" w:rsidRPr="00A62DE6">
        <w:rPr>
          <w:rFonts w:ascii="Rockwell" w:hAnsi="Rockwell"/>
        </w:rPr>
        <w:t xml:space="preserve">, </w:t>
      </w:r>
      <w:r w:rsidR="00783B9F" w:rsidRPr="00A62DE6">
        <w:rPr>
          <w:rFonts w:ascii="Rockwell" w:hAnsi="Rockwell"/>
        </w:rPr>
        <w:t>Bra</w:t>
      </w:r>
      <w:r w:rsidR="00F21E8E" w:rsidRPr="00A62DE6">
        <w:rPr>
          <w:rFonts w:ascii="Rockwell" w:hAnsi="Rockwell"/>
        </w:rPr>
        <w:t>sil</w:t>
      </w:r>
      <w:r w:rsidR="00791850" w:rsidRPr="00A62DE6">
        <w:rPr>
          <w:rFonts w:ascii="Rockwell" w:hAnsi="Rockwell"/>
        </w:rPr>
        <w:tab/>
      </w:r>
      <w:r w:rsidR="00791850" w:rsidRPr="00A62DE6">
        <w:rPr>
          <w:rFonts w:ascii="Rockwell" w:hAnsi="Rockwell"/>
        </w:rPr>
        <w:tab/>
      </w:r>
      <w:r w:rsidR="00DD542B" w:rsidRPr="00A62DE6">
        <w:rPr>
          <w:rFonts w:ascii="Rockwell" w:hAnsi="Rockwell"/>
        </w:rPr>
        <w:tab/>
      </w:r>
      <w:r w:rsidR="00F21E8E" w:rsidRPr="00A62DE6">
        <w:rPr>
          <w:rFonts w:ascii="Rockwell" w:hAnsi="Rockwell"/>
        </w:rPr>
        <w:tab/>
        <w:t xml:space="preserve">   </w:t>
      </w:r>
      <w:r>
        <w:rPr>
          <w:rFonts w:ascii="Rockwell" w:hAnsi="Rockwell"/>
        </w:rPr>
        <w:tab/>
        <w:t xml:space="preserve">   </w:t>
      </w:r>
      <w:r w:rsidR="008B1891" w:rsidRPr="00A62DE6">
        <w:rPr>
          <w:rFonts w:ascii="Rockwell" w:hAnsi="Rockwell"/>
        </w:rPr>
        <w:t>4</w:t>
      </w:r>
      <w:r w:rsidR="00791850" w:rsidRPr="00A62DE6">
        <w:rPr>
          <w:rFonts w:ascii="Rockwell" w:hAnsi="Rockwell"/>
        </w:rPr>
        <w:t>’</w:t>
      </w:r>
      <w:r w:rsidR="00B81E1C" w:rsidRPr="00A62DE6">
        <w:rPr>
          <w:rFonts w:ascii="Rockwell" w:hAnsi="Rockwell"/>
        </w:rPr>
        <w:t>9</w:t>
      </w:r>
    </w:p>
    <w:p w14:paraId="52F0E407" w14:textId="0377395D" w:rsidR="00B81E1C" w:rsidRPr="00A62DE6" w:rsidRDefault="00B81E1C" w:rsidP="00C02A9D">
      <w:pPr>
        <w:spacing w:before="60" w:after="0" w:line="240" w:lineRule="auto"/>
        <w:ind w:left="2268" w:firstLine="170"/>
        <w:jc w:val="both"/>
        <w:rPr>
          <w:rFonts w:ascii="Rockwell" w:hAnsi="Rockwell"/>
        </w:rPr>
      </w:pPr>
      <w:r w:rsidRPr="00A62DE6">
        <w:rPr>
          <w:rFonts w:ascii="Rockwell" w:hAnsi="Rockwell"/>
        </w:rPr>
        <w:t>Recife</w:t>
      </w:r>
      <w:r w:rsidR="008B1891" w:rsidRPr="00A62DE6">
        <w:rPr>
          <w:rFonts w:ascii="Rockwell" w:hAnsi="Rockwell"/>
        </w:rPr>
        <w:t>, Bra</w:t>
      </w:r>
      <w:r w:rsidR="00F21E8E" w:rsidRPr="00A62DE6">
        <w:rPr>
          <w:rFonts w:ascii="Rockwell" w:hAnsi="Rockwell"/>
        </w:rPr>
        <w:t>sil</w:t>
      </w:r>
      <w:r w:rsidRPr="00A62DE6">
        <w:rPr>
          <w:rFonts w:ascii="Rockwell" w:hAnsi="Rockwell"/>
        </w:rPr>
        <w:tab/>
      </w:r>
      <w:r w:rsidRPr="00A62DE6">
        <w:rPr>
          <w:rFonts w:ascii="Rockwell" w:hAnsi="Rockwell"/>
        </w:rPr>
        <w:tab/>
      </w:r>
      <w:r w:rsidR="00DD542B" w:rsidRPr="00A62DE6">
        <w:rPr>
          <w:rFonts w:ascii="Rockwell" w:hAnsi="Rockwell"/>
        </w:rPr>
        <w:tab/>
      </w:r>
      <w:r w:rsidR="008B1891" w:rsidRPr="00A62DE6">
        <w:rPr>
          <w:rFonts w:ascii="Rockwell" w:hAnsi="Rockwell"/>
        </w:rPr>
        <w:tab/>
        <w:t xml:space="preserve">   </w:t>
      </w:r>
      <w:r w:rsidR="00E35B9E">
        <w:rPr>
          <w:rFonts w:ascii="Rockwell" w:hAnsi="Rockwell"/>
        </w:rPr>
        <w:tab/>
        <w:t xml:space="preserve">   </w:t>
      </w:r>
      <w:r w:rsidR="008B1891" w:rsidRPr="00A62DE6">
        <w:rPr>
          <w:rFonts w:ascii="Rockwell" w:hAnsi="Rockwell"/>
        </w:rPr>
        <w:t>4</w:t>
      </w:r>
      <w:r w:rsidRPr="00A62DE6">
        <w:rPr>
          <w:rFonts w:ascii="Rockwell" w:hAnsi="Rockwell"/>
        </w:rPr>
        <w:t>’3</w:t>
      </w:r>
    </w:p>
    <w:p w14:paraId="6D9152F1" w14:textId="066DD844" w:rsidR="00791850" w:rsidRPr="00A62DE6" w:rsidRDefault="00791850" w:rsidP="00C02A9D">
      <w:pPr>
        <w:spacing w:before="60" w:after="0" w:line="240" w:lineRule="auto"/>
        <w:ind w:left="2268" w:firstLine="170"/>
        <w:jc w:val="both"/>
        <w:rPr>
          <w:rFonts w:ascii="Rockwell" w:hAnsi="Rockwell"/>
        </w:rPr>
      </w:pPr>
      <w:r w:rsidRPr="00A62DE6">
        <w:rPr>
          <w:rFonts w:ascii="Rockwell" w:hAnsi="Rockwell"/>
        </w:rPr>
        <w:t>Porto Alegre</w:t>
      </w:r>
      <w:r w:rsidR="008B1891" w:rsidRPr="00A62DE6">
        <w:rPr>
          <w:rFonts w:ascii="Rockwell" w:hAnsi="Rockwell"/>
        </w:rPr>
        <w:t>, Bra</w:t>
      </w:r>
      <w:r w:rsidR="00F21E8E" w:rsidRPr="00A62DE6">
        <w:rPr>
          <w:rFonts w:ascii="Rockwell" w:hAnsi="Rockwell"/>
        </w:rPr>
        <w:t>sil</w:t>
      </w:r>
      <w:r w:rsidRPr="00A62DE6">
        <w:rPr>
          <w:rFonts w:ascii="Rockwell" w:hAnsi="Rockwell"/>
        </w:rPr>
        <w:tab/>
      </w:r>
      <w:r w:rsidR="00DD542B" w:rsidRPr="00A62DE6">
        <w:rPr>
          <w:rFonts w:ascii="Rockwell" w:hAnsi="Rockwell"/>
        </w:rPr>
        <w:tab/>
      </w:r>
      <w:r w:rsidR="008B1891" w:rsidRPr="00A62DE6">
        <w:rPr>
          <w:rFonts w:ascii="Rockwell" w:hAnsi="Rockwell"/>
        </w:rPr>
        <w:tab/>
        <w:t xml:space="preserve">   </w:t>
      </w:r>
      <w:r w:rsidR="00E35B9E">
        <w:rPr>
          <w:rFonts w:ascii="Rockwell" w:hAnsi="Rockwell"/>
        </w:rPr>
        <w:tab/>
        <w:t xml:space="preserve">   </w:t>
      </w:r>
      <w:r w:rsidR="008B1891" w:rsidRPr="00A62DE6">
        <w:rPr>
          <w:rFonts w:ascii="Rockwell" w:hAnsi="Rockwell"/>
        </w:rPr>
        <w:t>4</w:t>
      </w:r>
      <w:r w:rsidRPr="00A62DE6">
        <w:rPr>
          <w:rFonts w:ascii="Rockwell" w:hAnsi="Rockwell"/>
        </w:rPr>
        <w:t>’2</w:t>
      </w:r>
    </w:p>
    <w:p w14:paraId="6ECF85B4" w14:textId="2A81EB99" w:rsidR="00B81E1C" w:rsidRPr="00A62DE6" w:rsidRDefault="00B81E1C" w:rsidP="00C02A9D">
      <w:pPr>
        <w:spacing w:before="60" w:after="0" w:line="240" w:lineRule="auto"/>
        <w:ind w:left="2268" w:firstLine="170"/>
        <w:jc w:val="both"/>
        <w:rPr>
          <w:rFonts w:ascii="Rockwell" w:hAnsi="Rockwell"/>
        </w:rPr>
      </w:pPr>
      <w:r w:rsidRPr="00A62DE6">
        <w:rPr>
          <w:rFonts w:ascii="Rockwell" w:hAnsi="Rockwell"/>
        </w:rPr>
        <w:t>Fortaleza</w:t>
      </w:r>
      <w:r w:rsidR="008B1891" w:rsidRPr="00A62DE6">
        <w:rPr>
          <w:rFonts w:ascii="Rockwell" w:hAnsi="Rockwell"/>
        </w:rPr>
        <w:t xml:space="preserve">, </w:t>
      </w:r>
      <w:bookmarkStart w:id="4" w:name="_Hlk177489972"/>
      <w:r w:rsidR="008B1891" w:rsidRPr="00A62DE6">
        <w:rPr>
          <w:rFonts w:ascii="Rockwell" w:hAnsi="Rockwell"/>
        </w:rPr>
        <w:t>Bra</w:t>
      </w:r>
      <w:bookmarkEnd w:id="4"/>
      <w:r w:rsidR="00F21E8E" w:rsidRPr="00A62DE6">
        <w:rPr>
          <w:rFonts w:ascii="Rockwell" w:hAnsi="Rockwell"/>
        </w:rPr>
        <w:t>sil</w:t>
      </w:r>
      <w:r w:rsidRPr="00A62DE6">
        <w:rPr>
          <w:rFonts w:ascii="Rockwell" w:hAnsi="Rockwell"/>
        </w:rPr>
        <w:tab/>
      </w:r>
      <w:r w:rsidRPr="00A62DE6">
        <w:rPr>
          <w:rFonts w:ascii="Rockwell" w:hAnsi="Rockwell"/>
        </w:rPr>
        <w:tab/>
      </w:r>
      <w:r w:rsidR="00DD542B" w:rsidRPr="00A62DE6">
        <w:rPr>
          <w:rFonts w:ascii="Rockwell" w:hAnsi="Rockwell"/>
        </w:rPr>
        <w:tab/>
      </w:r>
      <w:r w:rsidR="008B1891" w:rsidRPr="00A62DE6">
        <w:rPr>
          <w:rFonts w:ascii="Rockwell" w:hAnsi="Rockwell"/>
        </w:rPr>
        <w:tab/>
        <w:t xml:space="preserve"> </w:t>
      </w:r>
      <w:r w:rsidR="00A40E5C" w:rsidRPr="00A62DE6">
        <w:rPr>
          <w:rFonts w:ascii="Rockwell" w:hAnsi="Rockwell"/>
        </w:rPr>
        <w:t xml:space="preserve"> </w:t>
      </w:r>
      <w:r w:rsidR="008B1891" w:rsidRPr="00A62DE6">
        <w:rPr>
          <w:rFonts w:ascii="Rockwell" w:hAnsi="Rockwell"/>
        </w:rPr>
        <w:t xml:space="preserve"> </w:t>
      </w:r>
      <w:r w:rsidR="00E35B9E">
        <w:rPr>
          <w:rFonts w:ascii="Rockwell" w:hAnsi="Rockwell"/>
        </w:rPr>
        <w:tab/>
        <w:t xml:space="preserve">   </w:t>
      </w:r>
      <w:r w:rsidR="008B1891" w:rsidRPr="00A62DE6">
        <w:rPr>
          <w:rFonts w:ascii="Rockwell" w:hAnsi="Rockwell"/>
        </w:rPr>
        <w:t>4</w:t>
      </w:r>
      <w:r w:rsidRPr="00A62DE6">
        <w:rPr>
          <w:rFonts w:ascii="Rockwell" w:hAnsi="Rockwell"/>
        </w:rPr>
        <w:t>’2</w:t>
      </w:r>
    </w:p>
    <w:p w14:paraId="50BF3BCC" w14:textId="4CFE27CD" w:rsidR="00791850" w:rsidRPr="00A62DE6" w:rsidRDefault="00481E74" w:rsidP="00C02A9D">
      <w:pPr>
        <w:spacing w:before="60" w:after="0" w:line="240" w:lineRule="auto"/>
        <w:ind w:left="2268" w:firstLine="170"/>
        <w:jc w:val="both"/>
        <w:rPr>
          <w:rFonts w:ascii="Rockwell" w:hAnsi="Rockwell"/>
        </w:rPr>
      </w:pPr>
      <w:r w:rsidRPr="00A62DE6">
        <w:rPr>
          <w:rFonts w:ascii="Rockwell" w:hAnsi="Rockwell"/>
        </w:rPr>
        <w:t>Medellín</w:t>
      </w:r>
      <w:r w:rsidR="008B1891" w:rsidRPr="00A62DE6">
        <w:rPr>
          <w:rFonts w:ascii="Rockwell" w:hAnsi="Rockwell"/>
        </w:rPr>
        <w:t xml:space="preserve">, </w:t>
      </w:r>
      <w:bookmarkStart w:id="5" w:name="_Hlk177490267"/>
      <w:r w:rsidR="00783B9F" w:rsidRPr="00A62DE6">
        <w:rPr>
          <w:rFonts w:ascii="Rockwell" w:hAnsi="Rockwell"/>
        </w:rPr>
        <w:t>Col</w:t>
      </w:r>
      <w:bookmarkEnd w:id="5"/>
      <w:r w:rsidR="00783B9F" w:rsidRPr="00A62DE6">
        <w:rPr>
          <w:rFonts w:ascii="Rockwell" w:hAnsi="Rockwell"/>
        </w:rPr>
        <w:t>ombia</w:t>
      </w:r>
      <w:r w:rsidR="00791850" w:rsidRPr="00A62DE6">
        <w:rPr>
          <w:rFonts w:ascii="Rockwell" w:hAnsi="Rockwell"/>
        </w:rPr>
        <w:tab/>
      </w:r>
      <w:r w:rsidR="00DD542B" w:rsidRPr="00A62DE6">
        <w:rPr>
          <w:rFonts w:ascii="Rockwell" w:hAnsi="Rockwell"/>
        </w:rPr>
        <w:tab/>
      </w:r>
      <w:r w:rsidR="008B1891" w:rsidRPr="00A62DE6">
        <w:rPr>
          <w:rFonts w:ascii="Rockwell" w:hAnsi="Rockwell"/>
        </w:rPr>
        <w:tab/>
        <w:t xml:space="preserve">  </w:t>
      </w:r>
      <w:r w:rsidR="00F21E8E" w:rsidRPr="00A62DE6">
        <w:rPr>
          <w:rFonts w:ascii="Rockwell" w:hAnsi="Rockwell"/>
        </w:rPr>
        <w:t xml:space="preserve"> </w:t>
      </w:r>
      <w:r w:rsidR="00E35B9E">
        <w:rPr>
          <w:rFonts w:ascii="Rockwell" w:hAnsi="Rockwell"/>
        </w:rPr>
        <w:tab/>
        <w:t xml:space="preserve">   </w:t>
      </w:r>
      <w:r w:rsidR="008B1891" w:rsidRPr="00A62DE6">
        <w:rPr>
          <w:rFonts w:ascii="Rockwell" w:hAnsi="Rockwell"/>
        </w:rPr>
        <w:t>4</w:t>
      </w:r>
      <w:r w:rsidR="00791850" w:rsidRPr="00A62DE6">
        <w:rPr>
          <w:rFonts w:ascii="Rockwell" w:hAnsi="Rockwell"/>
        </w:rPr>
        <w:t>’</w:t>
      </w:r>
      <w:r w:rsidR="00B81E1C" w:rsidRPr="00A62DE6">
        <w:rPr>
          <w:rFonts w:ascii="Rockwell" w:hAnsi="Rockwell"/>
        </w:rPr>
        <w:t>1</w:t>
      </w:r>
    </w:p>
    <w:p w14:paraId="1456F755" w14:textId="4475A960" w:rsidR="002C212C" w:rsidRPr="00F21E8E" w:rsidRDefault="006E2650" w:rsidP="00F21E8E">
      <w:pPr>
        <w:spacing w:before="120" w:after="0" w:line="240" w:lineRule="auto"/>
        <w:ind w:firstLine="170"/>
        <w:jc w:val="right"/>
        <w:rPr>
          <w:rFonts w:ascii="Rockwell" w:hAnsi="Rockwell"/>
          <w:i/>
          <w:iCs/>
        </w:rPr>
      </w:pPr>
      <w:bookmarkStart w:id="6" w:name="_Hlk177491247"/>
      <w:r w:rsidRPr="00F21E8E">
        <w:rPr>
          <w:rFonts w:ascii="Rockwell" w:hAnsi="Rockwell"/>
          <w:i/>
          <w:iCs/>
        </w:rPr>
        <w:t>Fuente: Naciones Unidas, 202</w:t>
      </w:r>
      <w:r w:rsidR="00B61C16" w:rsidRPr="00F21E8E">
        <w:rPr>
          <w:rFonts w:ascii="Rockwell" w:hAnsi="Rockwell"/>
          <w:i/>
          <w:iCs/>
        </w:rPr>
        <w:t>1</w:t>
      </w:r>
    </w:p>
    <w:bookmarkEnd w:id="6"/>
    <w:p w14:paraId="012709E5" w14:textId="46890E13" w:rsidR="009C4415" w:rsidRPr="00F21E8E" w:rsidRDefault="009C4415" w:rsidP="00B973CC">
      <w:pPr>
        <w:spacing w:before="120" w:after="0" w:line="240" w:lineRule="auto"/>
        <w:ind w:firstLine="170"/>
        <w:jc w:val="both"/>
        <w:rPr>
          <w:rFonts w:ascii="Rockwell" w:hAnsi="Rockwell"/>
        </w:rPr>
      </w:pPr>
      <w:r w:rsidRPr="00F21E8E">
        <w:rPr>
          <w:rFonts w:ascii="Rockwell" w:hAnsi="Rockwell"/>
        </w:rPr>
        <w:lastRenderedPageBreak/>
        <w:t xml:space="preserve">En el siglo XIX, con la revolución industrial, se inició </w:t>
      </w:r>
      <w:r w:rsidR="00481E74" w:rsidRPr="00F21E8E">
        <w:rPr>
          <w:rFonts w:ascii="Rockwell" w:hAnsi="Rockwell"/>
        </w:rPr>
        <w:t>l</w:t>
      </w:r>
      <w:r w:rsidRPr="00F21E8E">
        <w:rPr>
          <w:rFonts w:ascii="Rockwell" w:hAnsi="Rockwell"/>
        </w:rPr>
        <w:t>a época de la expansión del capitalismo, lo que llevó a un aumento masivo de los flujos migratorios de Europa y Asia hacia América y Oceanía.</w:t>
      </w:r>
    </w:p>
    <w:p w14:paraId="15954EFD" w14:textId="7B91F0AA" w:rsidR="00C4367F" w:rsidRPr="00F21E8E" w:rsidRDefault="009C4415" w:rsidP="00B973CC">
      <w:pPr>
        <w:spacing w:before="120" w:after="0" w:line="240" w:lineRule="auto"/>
        <w:ind w:firstLine="170"/>
        <w:jc w:val="both"/>
        <w:rPr>
          <w:rFonts w:ascii="Rockwell" w:hAnsi="Rockwell"/>
        </w:rPr>
      </w:pPr>
      <w:r w:rsidRPr="00F21E8E">
        <w:rPr>
          <w:rFonts w:ascii="Rockwell" w:hAnsi="Rockwell"/>
        </w:rPr>
        <w:t xml:space="preserve">En el siglo XX, un extraordinario desarrollo de los medios de comunicación y transporte han hecho posible las migraciones masivas de personas en una escala nunca antes vista. </w:t>
      </w:r>
      <w:r w:rsidR="00C4367F" w:rsidRPr="00F21E8E">
        <w:rPr>
          <w:rFonts w:ascii="Rockwell" w:hAnsi="Rockwell"/>
        </w:rPr>
        <w:t xml:space="preserve">Las migraciones han sido analizadas desde distintas disciplinas académicas, existiendo hoy un conjunto de teorías especializadas. </w:t>
      </w:r>
    </w:p>
    <w:p w14:paraId="60071E57" w14:textId="56CB5F3D"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Una forma de clasificar estos enfoques es atendiendo al énfasis que se pone en distintos aspectos de los fenómenos migratorios. </w:t>
      </w:r>
      <w:r w:rsidR="009C4415" w:rsidRPr="00F21E8E">
        <w:rPr>
          <w:rFonts w:ascii="Rockwell" w:hAnsi="Rockwell"/>
        </w:rPr>
        <w:t>H</w:t>
      </w:r>
      <w:r w:rsidRPr="00F21E8E">
        <w:rPr>
          <w:rFonts w:ascii="Rockwell" w:hAnsi="Rockwell"/>
        </w:rPr>
        <w:t xml:space="preserve">ay enfoques que acentúan los llamados </w:t>
      </w:r>
      <w:r w:rsidRPr="00F21E8E">
        <w:rPr>
          <w:rFonts w:ascii="Rockwell" w:hAnsi="Rockwell"/>
          <w:b/>
          <w:bCs/>
        </w:rPr>
        <w:t>factores de expulsión</w:t>
      </w:r>
      <w:r w:rsidRPr="00F21E8E">
        <w:rPr>
          <w:rFonts w:ascii="Rockwell" w:hAnsi="Rockwell"/>
        </w:rPr>
        <w:t xml:space="preserve"> que </w:t>
      </w:r>
      <w:r w:rsidR="009C4415" w:rsidRPr="00F21E8E">
        <w:rPr>
          <w:rFonts w:ascii="Rockwell" w:hAnsi="Rockwell"/>
        </w:rPr>
        <w:t>inducen</w:t>
      </w:r>
      <w:r w:rsidRPr="00F21E8E">
        <w:rPr>
          <w:rFonts w:ascii="Rockwell" w:hAnsi="Rockwell"/>
        </w:rPr>
        <w:t xml:space="preserve"> a los migrantes a dejar sus respectivas regiones o países</w:t>
      </w:r>
      <w:r w:rsidR="0078738D" w:rsidRPr="00F21E8E">
        <w:rPr>
          <w:rFonts w:ascii="Rockwell" w:hAnsi="Rockwell"/>
        </w:rPr>
        <w:t xml:space="preserve">, tales como </w:t>
      </w:r>
      <w:r w:rsidRPr="00F21E8E">
        <w:rPr>
          <w:rFonts w:ascii="Rockwell" w:hAnsi="Rockwell"/>
        </w:rPr>
        <w:t>guerras, dificultades económicas, persecuciones religiosas</w:t>
      </w:r>
      <w:r w:rsidR="0078738D" w:rsidRPr="00F21E8E">
        <w:rPr>
          <w:rFonts w:ascii="Rockwell" w:hAnsi="Rockwell"/>
        </w:rPr>
        <w:t xml:space="preserve"> y</w:t>
      </w:r>
      <w:r w:rsidRPr="00F21E8E">
        <w:rPr>
          <w:rFonts w:ascii="Rockwell" w:hAnsi="Rockwell"/>
        </w:rPr>
        <w:t xml:space="preserve"> desastres </w:t>
      </w:r>
      <w:r w:rsidR="0078738D" w:rsidRPr="00F21E8E">
        <w:rPr>
          <w:rFonts w:ascii="Rockwell" w:hAnsi="Rockwell"/>
        </w:rPr>
        <w:t>natur</w:t>
      </w:r>
      <w:r w:rsidRPr="00F21E8E">
        <w:rPr>
          <w:rFonts w:ascii="Rockwell" w:hAnsi="Rockwell"/>
        </w:rPr>
        <w:t xml:space="preserve">ales. Por otra parte, están los enfoques que acentúan los </w:t>
      </w:r>
      <w:r w:rsidRPr="00F21E8E">
        <w:rPr>
          <w:rFonts w:ascii="Rockwell" w:hAnsi="Rockwell"/>
          <w:b/>
          <w:bCs/>
        </w:rPr>
        <w:t>factores de atracción</w:t>
      </w:r>
      <w:r w:rsidRPr="00F21E8E">
        <w:rPr>
          <w:rFonts w:ascii="Rockwell" w:hAnsi="Rockwell"/>
        </w:rPr>
        <w:t xml:space="preserve"> que llaman a los migrantes hacia determinadas regiones o países</w:t>
      </w:r>
      <w:r w:rsidR="000D34AD" w:rsidRPr="00F21E8E">
        <w:rPr>
          <w:rFonts w:ascii="Rockwell" w:hAnsi="Rockwell"/>
        </w:rPr>
        <w:t xml:space="preserve">: </w:t>
      </w:r>
      <w:r w:rsidRPr="00F21E8E">
        <w:rPr>
          <w:rFonts w:ascii="Rockwell" w:hAnsi="Rockwell"/>
        </w:rPr>
        <w:t>mejores salarios, acceso a la tierra y condiciones de</w:t>
      </w:r>
      <w:r w:rsidR="000D34AD" w:rsidRPr="00F21E8E">
        <w:rPr>
          <w:rFonts w:ascii="Rockwell" w:hAnsi="Rockwell"/>
        </w:rPr>
        <w:t xml:space="preserve"> vida</w:t>
      </w:r>
      <w:r w:rsidRPr="00F21E8E">
        <w:rPr>
          <w:rFonts w:ascii="Rockwell" w:hAnsi="Rockwell"/>
        </w:rPr>
        <w:t>.</w:t>
      </w:r>
    </w:p>
    <w:p w14:paraId="3F84D804" w14:textId="277851BE" w:rsidR="00C4367F" w:rsidRPr="00F21E8E" w:rsidRDefault="009C4415" w:rsidP="00B973CC">
      <w:pPr>
        <w:spacing w:before="120" w:after="0" w:line="240" w:lineRule="auto"/>
        <w:ind w:firstLine="170"/>
        <w:jc w:val="both"/>
        <w:rPr>
          <w:rFonts w:ascii="Times New Roman" w:hAnsi="Times New Roman" w:cs="Times New Roman"/>
        </w:rPr>
      </w:pPr>
      <w:r w:rsidRPr="00F21E8E">
        <w:rPr>
          <w:rFonts w:ascii="Rockwell" w:hAnsi="Rockwell"/>
        </w:rPr>
        <w:t>D</w:t>
      </w:r>
      <w:r w:rsidR="00C4367F" w:rsidRPr="00F21E8E">
        <w:rPr>
          <w:rFonts w:ascii="Rockwell" w:hAnsi="Rockwell"/>
        </w:rPr>
        <w:t>urante las últimas décadas se ha venido poniendo mayor interés en el nivel intermedio, o mediador entre las condiciones estructurales y las decisiones individuales</w:t>
      </w:r>
      <w:r w:rsidR="00C4367F" w:rsidRPr="00F21E8E">
        <w:rPr>
          <w:rFonts w:ascii="Rockwell" w:hAnsi="Rockwell"/>
          <w:b/>
          <w:bCs/>
        </w:rPr>
        <w:t>.</w:t>
      </w:r>
      <w:r w:rsidR="00C4367F" w:rsidRPr="00F21E8E">
        <w:rPr>
          <w:rFonts w:ascii="Rockwell" w:hAnsi="Rockwell"/>
        </w:rPr>
        <w:t xml:space="preserve"> Tambi</w:t>
      </w:r>
      <w:r w:rsidR="00C4367F" w:rsidRPr="00F21E8E">
        <w:rPr>
          <w:rFonts w:ascii="Rockwell" w:hAnsi="Rockwell" w:cs="Rockwell"/>
        </w:rPr>
        <w:t>é</w:t>
      </w:r>
      <w:r w:rsidR="00C4367F" w:rsidRPr="00F21E8E">
        <w:rPr>
          <w:rFonts w:ascii="Rockwell" w:hAnsi="Rockwell"/>
        </w:rPr>
        <w:t>n las organizaciones de car</w:t>
      </w:r>
      <w:r w:rsidR="00C4367F" w:rsidRPr="00F21E8E">
        <w:rPr>
          <w:rFonts w:ascii="Rockwell" w:hAnsi="Rockwell" w:cs="Rockwell"/>
        </w:rPr>
        <w:t>á</w:t>
      </w:r>
      <w:r w:rsidR="00C4367F" w:rsidRPr="00F21E8E">
        <w:rPr>
          <w:rFonts w:ascii="Rockwell" w:hAnsi="Rockwell"/>
        </w:rPr>
        <w:t>cter criminal han sido estudiadas a este nivel.</w:t>
      </w:r>
      <w:r w:rsidR="0043334B" w:rsidRPr="00F21E8E">
        <w:rPr>
          <w:rFonts w:ascii="Rockwell" w:hAnsi="Rockwell"/>
        </w:rPr>
        <w:t xml:space="preserve"> </w:t>
      </w:r>
      <w:r w:rsidR="00C4367F" w:rsidRPr="00F21E8E">
        <w:rPr>
          <w:rFonts w:ascii="Times New Roman" w:hAnsi="Times New Roman" w:cs="Times New Roman"/>
        </w:rPr>
        <w:t>​</w:t>
      </w:r>
    </w:p>
    <w:p w14:paraId="0ED56F8F" w14:textId="0D671436" w:rsidR="006C412C"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El </w:t>
      </w:r>
      <w:bookmarkStart w:id="7" w:name="_Hlk177445691"/>
      <w:r w:rsidRPr="00B31F68">
        <w:rPr>
          <w:rFonts w:ascii="Rockwell" w:hAnsi="Rockwell"/>
          <w:b/>
          <w:bCs/>
        </w:rPr>
        <w:t>enfoque demográfico</w:t>
      </w:r>
      <w:r w:rsidRPr="00F21E8E">
        <w:rPr>
          <w:rFonts w:ascii="Rockwell" w:hAnsi="Rockwell"/>
        </w:rPr>
        <w:t xml:space="preserve"> </w:t>
      </w:r>
      <w:bookmarkEnd w:id="7"/>
      <w:r w:rsidRPr="00F21E8E">
        <w:rPr>
          <w:rFonts w:ascii="Rockwell" w:hAnsi="Rockwell"/>
        </w:rPr>
        <w:t>es característico de este nivel de análisis, poniendo el acento sobre las disparidades en cuanto al desarrollo poblacional entre diversas regiones y países. Esta es</w:t>
      </w:r>
      <w:r w:rsidR="0078738D" w:rsidRPr="00F21E8E">
        <w:rPr>
          <w:rFonts w:ascii="Rockwell" w:hAnsi="Rockwell"/>
        </w:rPr>
        <w:t xml:space="preserve"> </w:t>
      </w:r>
      <w:r w:rsidRPr="00F21E8E">
        <w:rPr>
          <w:rFonts w:ascii="Rockwell" w:hAnsi="Rockwell"/>
        </w:rPr>
        <w:t xml:space="preserve">la base de todo análisis de los fenómenos migratorios que alcanza una importancia cuantitativa. </w:t>
      </w:r>
    </w:p>
    <w:p w14:paraId="23C82CFC" w14:textId="3F5AFCDD" w:rsidR="00C4367F" w:rsidRPr="00F21E8E" w:rsidRDefault="00623D14" w:rsidP="00B973CC">
      <w:pPr>
        <w:spacing w:before="120" w:after="0" w:line="240" w:lineRule="auto"/>
        <w:ind w:firstLine="170"/>
        <w:jc w:val="both"/>
        <w:rPr>
          <w:rFonts w:ascii="Rockwell" w:hAnsi="Rockwell"/>
        </w:rPr>
      </w:pPr>
      <w:r w:rsidRPr="00F21E8E">
        <w:rPr>
          <w:rFonts w:ascii="Rockwell" w:hAnsi="Rockwell"/>
        </w:rPr>
        <w:t>El</w:t>
      </w:r>
      <w:r w:rsidR="00C4367F" w:rsidRPr="00F21E8E">
        <w:rPr>
          <w:rFonts w:ascii="Rockwell" w:hAnsi="Rockwell"/>
        </w:rPr>
        <w:t xml:space="preserve"> </w:t>
      </w:r>
      <w:r w:rsidR="00C4367F" w:rsidRPr="00B31F68">
        <w:rPr>
          <w:rFonts w:ascii="Rockwell" w:hAnsi="Rockwell"/>
          <w:b/>
          <w:bCs/>
        </w:rPr>
        <w:t>enfoque sociológico</w:t>
      </w:r>
      <w:r w:rsidR="00C4367F" w:rsidRPr="00F21E8E">
        <w:rPr>
          <w:rFonts w:ascii="Rockwell" w:hAnsi="Rockwell"/>
        </w:rPr>
        <w:t xml:space="preserve"> a nivel </w:t>
      </w:r>
      <w:r w:rsidR="00C4367F" w:rsidRPr="00A62DE6">
        <w:rPr>
          <w:rFonts w:ascii="Rockwell" w:hAnsi="Rockwell"/>
          <w:b/>
          <w:bCs/>
        </w:rPr>
        <w:t>macro</w:t>
      </w:r>
      <w:r w:rsidR="00C4367F" w:rsidRPr="00F21E8E">
        <w:rPr>
          <w:rFonts w:ascii="Rockwell" w:hAnsi="Rockwell"/>
        </w:rPr>
        <w:t xml:space="preserve"> </w:t>
      </w:r>
      <w:r w:rsidRPr="00F21E8E">
        <w:rPr>
          <w:rFonts w:ascii="Rockwell" w:hAnsi="Rockwell"/>
        </w:rPr>
        <w:t>o</w:t>
      </w:r>
      <w:r w:rsidR="00C4367F" w:rsidRPr="00F21E8E">
        <w:rPr>
          <w:rFonts w:ascii="Rockwell" w:hAnsi="Rockwell"/>
        </w:rPr>
        <w:t xml:space="preserve"> </w:t>
      </w:r>
      <w:r w:rsidR="00C4367F" w:rsidRPr="00F21E8E">
        <w:rPr>
          <w:rFonts w:ascii="Rockwell" w:hAnsi="Rockwell"/>
          <w:b/>
          <w:bCs/>
        </w:rPr>
        <w:t>paradigma de la modernización,</w:t>
      </w:r>
      <w:r w:rsidR="00C4367F" w:rsidRPr="00F21E8E">
        <w:rPr>
          <w:rFonts w:ascii="Rockwell" w:hAnsi="Rockwell"/>
        </w:rPr>
        <w:t xml:space="preserve"> asocia las migraciones con procesos de cambio socioculturales que predisponen a aumentar la movilidad humana. Se pasaría de una situación sedentari</w:t>
      </w:r>
      <w:r w:rsidR="0006086F" w:rsidRPr="00F21E8E">
        <w:rPr>
          <w:rFonts w:ascii="Rockwell" w:hAnsi="Rockwell"/>
        </w:rPr>
        <w:t>a</w:t>
      </w:r>
      <w:r w:rsidR="009C4415" w:rsidRPr="00F21E8E">
        <w:rPr>
          <w:rFonts w:ascii="Rockwell" w:hAnsi="Rockwell"/>
        </w:rPr>
        <w:t>,</w:t>
      </w:r>
      <w:r w:rsidR="00C4367F" w:rsidRPr="00F21E8E">
        <w:rPr>
          <w:rFonts w:ascii="Rockwell" w:hAnsi="Rockwell"/>
        </w:rPr>
        <w:t xml:space="preserve"> adscri</w:t>
      </w:r>
      <w:r w:rsidR="009C4415" w:rsidRPr="00F21E8E">
        <w:rPr>
          <w:rFonts w:ascii="Rockwell" w:hAnsi="Rockwell"/>
        </w:rPr>
        <w:t>ta</w:t>
      </w:r>
      <w:r w:rsidR="00C4367F" w:rsidRPr="00F21E8E">
        <w:rPr>
          <w:rFonts w:ascii="Rockwell" w:hAnsi="Rockwell"/>
        </w:rPr>
        <w:t xml:space="preserve"> al entorno local, a una situación de alta movilidad</w:t>
      </w:r>
      <w:r w:rsidRPr="00F21E8E">
        <w:rPr>
          <w:rFonts w:ascii="Rockwell" w:hAnsi="Rockwell"/>
        </w:rPr>
        <w:t>,</w:t>
      </w:r>
      <w:r w:rsidR="00C4367F" w:rsidRPr="00F21E8E">
        <w:rPr>
          <w:rFonts w:ascii="Rockwell" w:hAnsi="Rockwell"/>
        </w:rPr>
        <w:t xml:space="preserve"> propia de una sociedad moderna. </w:t>
      </w:r>
      <w:r w:rsidR="009C4415" w:rsidRPr="00F21E8E">
        <w:rPr>
          <w:rFonts w:ascii="Rockwell" w:hAnsi="Rockwell"/>
        </w:rPr>
        <w:t>L</w:t>
      </w:r>
      <w:r w:rsidR="00C4367F" w:rsidRPr="00F21E8E">
        <w:rPr>
          <w:rFonts w:ascii="Rockwell" w:hAnsi="Rockwell"/>
        </w:rPr>
        <w:t>a abundancia de fuerza de trabajo en relación con otros factores productivos potenciaría la emigración debido a los bajos salarios. Cuando el nivel de desarrollo del país de emigración lo acerca al del país de inmigración</w:t>
      </w:r>
      <w:r w:rsidR="003A7461" w:rsidRPr="00F21E8E">
        <w:rPr>
          <w:rFonts w:ascii="Rockwell" w:hAnsi="Rockwell"/>
        </w:rPr>
        <w:t>,</w:t>
      </w:r>
      <w:r w:rsidR="00C4367F" w:rsidRPr="00F21E8E">
        <w:rPr>
          <w:rFonts w:ascii="Rockwell" w:hAnsi="Rockwell"/>
        </w:rPr>
        <w:t xml:space="preserve"> el flujo tiende a detenerse y, finalmente, invertirse. </w:t>
      </w:r>
    </w:p>
    <w:p w14:paraId="6F7DAD8D" w14:textId="20A38254" w:rsidR="003A7461"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El </w:t>
      </w:r>
      <w:r w:rsidRPr="00B31F68">
        <w:rPr>
          <w:rFonts w:ascii="Rockwell" w:hAnsi="Rockwell"/>
          <w:b/>
          <w:bCs/>
        </w:rPr>
        <w:t>enfoque económico</w:t>
      </w:r>
      <w:r w:rsidR="00B31F68">
        <w:rPr>
          <w:rFonts w:ascii="Rockwell" w:hAnsi="Rockwell"/>
          <w:b/>
          <w:bCs/>
        </w:rPr>
        <w:t>,</w:t>
      </w:r>
      <w:r w:rsidRPr="00F21E8E">
        <w:rPr>
          <w:rFonts w:ascii="Rockwell" w:hAnsi="Rockwell"/>
        </w:rPr>
        <w:t xml:space="preserve"> antagónico al recién expuesto</w:t>
      </w:r>
      <w:r w:rsidR="00623D14" w:rsidRPr="00F21E8E">
        <w:rPr>
          <w:rFonts w:ascii="Rockwell" w:hAnsi="Rockwell"/>
        </w:rPr>
        <w:t>,</w:t>
      </w:r>
      <w:r w:rsidRPr="00F21E8E">
        <w:rPr>
          <w:rFonts w:ascii="Rockwell" w:hAnsi="Rockwell"/>
        </w:rPr>
        <w:t xml:space="preserve"> lo proponen diversas escuelas de pensamiento que acentúan la polarización internacional que vendría a empobrecer crecientemente las llamadas </w:t>
      </w:r>
      <w:r w:rsidRPr="00F21E8E">
        <w:rPr>
          <w:rFonts w:ascii="Rockwell" w:hAnsi="Rockwell"/>
          <w:b/>
          <w:bCs/>
        </w:rPr>
        <w:t>periferias</w:t>
      </w:r>
      <w:r w:rsidRPr="00F21E8E">
        <w:rPr>
          <w:rFonts w:ascii="Rockwell" w:hAnsi="Rockwell"/>
        </w:rPr>
        <w:t xml:space="preserve"> del sistema capitalista mundial, forzando a sus poblaciones a emigrar para subsistir. Estas perspectivas tienen su origen en la </w:t>
      </w:r>
      <w:r w:rsidR="003A7461" w:rsidRPr="00F21E8E">
        <w:rPr>
          <w:rFonts w:ascii="Rockwell" w:hAnsi="Rockwell"/>
          <w:b/>
          <w:bCs/>
        </w:rPr>
        <w:t>t</w:t>
      </w:r>
      <w:r w:rsidRPr="00F21E8E">
        <w:rPr>
          <w:rFonts w:ascii="Rockwell" w:hAnsi="Rockwell"/>
          <w:b/>
          <w:bCs/>
        </w:rPr>
        <w:t xml:space="preserve">eoría de la </w:t>
      </w:r>
      <w:r w:rsidR="003A7461" w:rsidRPr="00F21E8E">
        <w:rPr>
          <w:rFonts w:ascii="Rockwell" w:hAnsi="Rockwell"/>
          <w:b/>
          <w:bCs/>
        </w:rPr>
        <w:t>d</w:t>
      </w:r>
      <w:r w:rsidRPr="00F21E8E">
        <w:rPr>
          <w:rFonts w:ascii="Rockwell" w:hAnsi="Rockwell"/>
          <w:b/>
          <w:bCs/>
        </w:rPr>
        <w:t>ependencia,</w:t>
      </w:r>
      <w:r w:rsidRPr="00F21E8E">
        <w:rPr>
          <w:rFonts w:ascii="Rockwell" w:hAnsi="Rockwell"/>
        </w:rPr>
        <w:t xml:space="preserve"> </w:t>
      </w:r>
      <w:r w:rsidR="009C4415" w:rsidRPr="00F21E8E">
        <w:rPr>
          <w:rFonts w:ascii="Rockwell" w:hAnsi="Rockwell"/>
        </w:rPr>
        <w:t>elabor</w:t>
      </w:r>
      <w:r w:rsidRPr="00F21E8E">
        <w:rPr>
          <w:rFonts w:ascii="Rockwell" w:hAnsi="Rockwell"/>
        </w:rPr>
        <w:t xml:space="preserve">ada por </w:t>
      </w:r>
      <w:r w:rsidR="00481E74" w:rsidRPr="00F21E8E">
        <w:rPr>
          <w:rFonts w:ascii="Rockwell" w:hAnsi="Rockwell"/>
        </w:rPr>
        <w:t>investigadores académicos</w:t>
      </w:r>
      <w:r w:rsidRPr="00F21E8E">
        <w:rPr>
          <w:rFonts w:ascii="Rockwell" w:hAnsi="Rockwell"/>
        </w:rPr>
        <w:t xml:space="preserve"> como </w:t>
      </w:r>
      <w:bookmarkStart w:id="8" w:name="_Hlk177323461"/>
      <w:r w:rsidRPr="00F21E8E">
        <w:rPr>
          <w:rFonts w:ascii="Rockwell" w:hAnsi="Rockwell"/>
        </w:rPr>
        <w:t>André Gunder Frank.</w:t>
      </w:r>
    </w:p>
    <w:bookmarkEnd w:id="8"/>
    <w:p w14:paraId="1AE38752" w14:textId="33A8C054" w:rsidR="006B6083"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Los enfoques </w:t>
      </w:r>
      <w:r w:rsidRPr="00F21E8E">
        <w:rPr>
          <w:rFonts w:ascii="Rockwell" w:hAnsi="Rockwell"/>
          <w:b/>
          <w:bCs/>
        </w:rPr>
        <w:t>micro</w:t>
      </w:r>
      <w:r w:rsidRPr="00F21E8E">
        <w:rPr>
          <w:rFonts w:ascii="Rockwell" w:hAnsi="Rockwell"/>
        </w:rPr>
        <w:t xml:space="preserve"> surgen de la necesidad de explicar las decisiones reales de los sujetos de las migraciones, es decir, de los migrantes mismos. El punto de partida de estas reflexiones es que realmente existe una decisión migratoria y que no se trata de un hecho meramente forzoso, como sería el tráfico de esclavos o las deportaciones masivas de población. </w:t>
      </w:r>
      <w:r w:rsidR="005A7F84">
        <w:rPr>
          <w:noProof/>
        </w:rPr>
        <w:drawing>
          <wp:anchor distT="0" distB="0" distL="114300" distR="114300" simplePos="0" relativeHeight="251664384" behindDoc="0" locked="0" layoutInCell="1" allowOverlap="1" wp14:anchorId="5C079980" wp14:editId="5199125E">
            <wp:simplePos x="0" y="0"/>
            <wp:positionH relativeFrom="column">
              <wp:posOffset>25400</wp:posOffset>
            </wp:positionH>
            <wp:positionV relativeFrom="paragraph">
              <wp:posOffset>487045</wp:posOffset>
            </wp:positionV>
            <wp:extent cx="2933700" cy="2766060"/>
            <wp:effectExtent l="0" t="0" r="0" b="0"/>
            <wp:wrapSquare wrapText="bothSides"/>
            <wp:docPr id="14" name="Imagen 7" descr="Consejo Nacional de Población ¿Quiénes somos y qué hacemos? | Consejo  Nacional de Población | Gobierno | gob.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sejo Nacional de Población ¿Quiénes somos y qué hacemos? | Consejo  Nacional de Población | Gobierno | gob.m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766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E8E">
        <w:rPr>
          <w:rFonts w:ascii="Rockwell" w:hAnsi="Rockwell"/>
        </w:rPr>
        <w:t xml:space="preserve">Las perspectivas </w:t>
      </w:r>
      <w:r w:rsidRPr="00F21E8E">
        <w:rPr>
          <w:rFonts w:ascii="Rockwell" w:hAnsi="Rockwell"/>
          <w:b/>
          <w:bCs/>
        </w:rPr>
        <w:t>macro y micro</w:t>
      </w:r>
      <w:r w:rsidRPr="00F21E8E">
        <w:rPr>
          <w:rFonts w:ascii="Rockwell" w:hAnsi="Rockwell"/>
        </w:rPr>
        <w:t xml:space="preserve"> fueron severamente criticadas durante los últimos decenios del siglo pasado ya que olvidaban que entre los factores generales y los particulares existen una serie de estructuras que hacen posible la migración, abaratando sus costos y, de hecho, canalizándola hacia ciertas zonas, nichos laborales y localidades concretas. </w:t>
      </w:r>
    </w:p>
    <w:p w14:paraId="7A8C3292" w14:textId="6FA5A5EB"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El estudio de las redes migratorias incluye también </w:t>
      </w:r>
      <w:r w:rsidR="00481E74" w:rsidRPr="00F21E8E">
        <w:rPr>
          <w:rFonts w:ascii="Rockwell" w:hAnsi="Rockwell"/>
        </w:rPr>
        <w:t>las</w:t>
      </w:r>
      <w:r w:rsidRPr="00F21E8E">
        <w:rPr>
          <w:rFonts w:ascii="Rockwell" w:hAnsi="Rockwell"/>
        </w:rPr>
        <w:t xml:space="preserve"> que decididamente actúan fuera y en contra de la ley, calificadas como mafias con fines de explotación sexual.</w:t>
      </w:r>
    </w:p>
    <w:p w14:paraId="39D4A191" w14:textId="639D5200"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Según el Informe sobre Desarrollo Humano 2009 del PNUD</w:t>
      </w:r>
      <w:r w:rsidRPr="00F21E8E">
        <w:rPr>
          <w:rFonts w:ascii="Times New Roman" w:hAnsi="Times New Roman" w:cs="Times New Roman"/>
        </w:rPr>
        <w:t>​</w:t>
      </w:r>
      <w:r w:rsidRPr="00F21E8E">
        <w:rPr>
          <w:rFonts w:ascii="Rockwell" w:hAnsi="Rockwell"/>
        </w:rPr>
        <w:t xml:space="preserve"> existirían </w:t>
      </w:r>
      <w:r w:rsidRPr="00F21E8E">
        <w:rPr>
          <w:rFonts w:ascii="Rockwell" w:hAnsi="Rockwell"/>
          <w:b/>
          <w:bCs/>
        </w:rPr>
        <w:t>unos mil millones de migrantes en la actualidad</w:t>
      </w:r>
      <w:r w:rsidRPr="00F21E8E">
        <w:rPr>
          <w:rFonts w:ascii="Rockwell" w:hAnsi="Rockwell"/>
        </w:rPr>
        <w:t xml:space="preserve">. De ellos, la </w:t>
      </w:r>
      <w:r w:rsidRPr="00F21E8E">
        <w:rPr>
          <w:rFonts w:ascii="Rockwell" w:hAnsi="Rockwell"/>
        </w:rPr>
        <w:lastRenderedPageBreak/>
        <w:t>abrumadora mayoría serían migrantes internos y solo menos de una cuarta parte se habría desplazado fuera de las fronteras de su respectivo país</w:t>
      </w:r>
    </w:p>
    <w:p w14:paraId="18D9D940" w14:textId="03E82DDD"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Incluso con una definición conservadora de la migración interna que computa el movimiento sólo a través de las demarcaciones zonales más grandes de un país, el número de personas que se desplaza internamente es seis veces mayor que quienes emigran a otro país. Si usamos los patrones regionales que encontramos en estos datos, calculamos que hay alrededor de 740 millones de migrantes internos en el mundo, casi cuatro veces la cifra de quienes se desplazan internacionalmente. </w:t>
      </w:r>
    </w:p>
    <w:p w14:paraId="78703141" w14:textId="3AED1FE8" w:rsidR="00C4367F" w:rsidRPr="00F21E8E" w:rsidRDefault="00C4367F" w:rsidP="00B973CC">
      <w:pPr>
        <w:spacing w:before="120" w:after="0" w:line="240" w:lineRule="auto"/>
        <w:ind w:firstLine="170"/>
        <w:jc w:val="both"/>
        <w:rPr>
          <w:rFonts w:ascii="Times New Roman" w:hAnsi="Times New Roman" w:cs="Times New Roman"/>
        </w:rPr>
      </w:pPr>
      <w:r w:rsidRPr="00F21E8E">
        <w:rPr>
          <w:rFonts w:ascii="Rockwell" w:hAnsi="Rockwell"/>
        </w:rPr>
        <w:t xml:space="preserve">El mismo informe muestra que el flujo mayoritario de desplazamientos internacionales se dirigiría hacia países con niveles semejantes de desarrollo. Un flujo considerable, pero minoritario, está sin embargo formado por aquellas personas que se desplazan desde países pobres o menos desarrollados a países ricos o más desarrollados. </w:t>
      </w:r>
      <w:r w:rsidR="009C4415" w:rsidRPr="00F21E8E">
        <w:rPr>
          <w:rFonts w:ascii="Rockwell" w:hAnsi="Rockwell"/>
        </w:rPr>
        <w:t>Puede</w:t>
      </w:r>
      <w:r w:rsidRPr="00F21E8E">
        <w:rPr>
          <w:rFonts w:ascii="Rockwell" w:hAnsi="Rockwell"/>
        </w:rPr>
        <w:t xml:space="preserve"> denominarse </w:t>
      </w:r>
      <w:r w:rsidR="009C4415" w:rsidRPr="00F21E8E">
        <w:rPr>
          <w:rFonts w:ascii="Rockwell" w:hAnsi="Rockwell"/>
        </w:rPr>
        <w:t xml:space="preserve">migración </w:t>
      </w:r>
      <w:r w:rsidRPr="00F21E8E">
        <w:rPr>
          <w:rFonts w:ascii="Rockwell" w:hAnsi="Rockwell"/>
        </w:rPr>
        <w:t>Sur</w:t>
      </w:r>
      <w:r w:rsidR="009C4415" w:rsidRPr="00F21E8E">
        <w:rPr>
          <w:rFonts w:ascii="Rockwell" w:hAnsi="Rockwell"/>
        </w:rPr>
        <w:t xml:space="preserve"> </w:t>
      </w:r>
      <w:r w:rsidRPr="00F21E8E">
        <w:rPr>
          <w:rFonts w:ascii="Rockwell" w:hAnsi="Rockwell"/>
        </w:rPr>
        <w:t>-</w:t>
      </w:r>
      <w:r w:rsidR="009C4415" w:rsidRPr="00F21E8E">
        <w:rPr>
          <w:rFonts w:ascii="Rockwell" w:hAnsi="Rockwell"/>
        </w:rPr>
        <w:t xml:space="preserve"> </w:t>
      </w:r>
      <w:r w:rsidRPr="00F21E8E">
        <w:rPr>
          <w:rFonts w:ascii="Rockwell" w:hAnsi="Rockwell"/>
        </w:rPr>
        <w:t xml:space="preserve">Norte. </w:t>
      </w:r>
      <w:r w:rsidRPr="00F21E8E">
        <w:rPr>
          <w:rFonts w:ascii="Times New Roman" w:hAnsi="Times New Roman" w:cs="Times New Roman"/>
        </w:rPr>
        <w:t>​</w:t>
      </w:r>
    </w:p>
    <w:p w14:paraId="7A61A9E5" w14:textId="77777777" w:rsidR="00B61C16" w:rsidRPr="00F21E8E" w:rsidRDefault="00B61C16" w:rsidP="00B973CC">
      <w:pPr>
        <w:spacing w:before="120" w:after="0" w:line="240" w:lineRule="auto"/>
        <w:ind w:firstLine="170"/>
        <w:jc w:val="both"/>
        <w:rPr>
          <w:rFonts w:ascii="Rockwell" w:hAnsi="Rockwell"/>
          <w:b/>
          <w:bCs/>
        </w:rPr>
      </w:pPr>
    </w:p>
    <w:p w14:paraId="7820C03F" w14:textId="3DE4DDE8" w:rsidR="009C4415" w:rsidRPr="00F21E8E" w:rsidRDefault="009C4415" w:rsidP="00EE1129">
      <w:pPr>
        <w:spacing w:before="120" w:after="0" w:line="240" w:lineRule="auto"/>
        <w:ind w:left="2268" w:firstLine="170"/>
        <w:jc w:val="both"/>
        <w:rPr>
          <w:rFonts w:ascii="Rockwell" w:hAnsi="Rockwell"/>
          <w:b/>
          <w:bCs/>
        </w:rPr>
      </w:pPr>
      <w:r w:rsidRPr="00F21E8E">
        <w:rPr>
          <w:rFonts w:ascii="Rockwell" w:hAnsi="Rockwell"/>
          <w:b/>
          <w:bCs/>
        </w:rPr>
        <w:t xml:space="preserve">Países de acogida </w:t>
      </w:r>
      <w:r w:rsidR="00481E74" w:rsidRPr="00F21E8E">
        <w:rPr>
          <w:rFonts w:ascii="Rockwell" w:hAnsi="Rockwell"/>
          <w:b/>
          <w:bCs/>
        </w:rPr>
        <w:t>---------</w:t>
      </w:r>
      <w:r w:rsidR="00EE1129">
        <w:rPr>
          <w:rFonts w:ascii="Rockwell" w:hAnsi="Rockwell"/>
          <w:b/>
          <w:bCs/>
        </w:rPr>
        <w:t>---</w:t>
      </w:r>
      <w:r w:rsidR="00481E74" w:rsidRPr="00F21E8E">
        <w:rPr>
          <w:rFonts w:ascii="Rockwell" w:hAnsi="Rockwell"/>
          <w:b/>
          <w:bCs/>
        </w:rPr>
        <w:t xml:space="preserve"> Inmigrantes</w:t>
      </w:r>
      <w:r w:rsidRPr="00F21E8E">
        <w:rPr>
          <w:rFonts w:ascii="Rockwell" w:hAnsi="Rockwell"/>
          <w:b/>
          <w:bCs/>
        </w:rPr>
        <w:t xml:space="preserve"> 2010</w:t>
      </w:r>
    </w:p>
    <w:p w14:paraId="2544D6A1" w14:textId="25389934" w:rsidR="009C4415" w:rsidRPr="00F21E8E" w:rsidRDefault="00C4367F" w:rsidP="00EE1129">
      <w:pPr>
        <w:spacing w:before="120" w:after="0" w:line="240" w:lineRule="auto"/>
        <w:ind w:left="2268" w:firstLine="170"/>
        <w:jc w:val="both"/>
        <w:rPr>
          <w:rFonts w:ascii="Rockwell" w:hAnsi="Rockwell"/>
        </w:rPr>
      </w:pPr>
      <w:r w:rsidRPr="00F21E8E">
        <w:rPr>
          <w:rFonts w:ascii="Rockwell" w:hAnsi="Rockwell"/>
        </w:rPr>
        <w:t xml:space="preserve">Estados Unidos </w:t>
      </w:r>
      <w:r w:rsidR="009C4415" w:rsidRPr="00F21E8E">
        <w:rPr>
          <w:rFonts w:ascii="Rockwell" w:hAnsi="Rockwell"/>
        </w:rPr>
        <w:tab/>
      </w:r>
      <w:r w:rsidR="009C4415" w:rsidRPr="00F21E8E">
        <w:rPr>
          <w:rFonts w:ascii="Rockwell" w:hAnsi="Rockwell"/>
        </w:rPr>
        <w:tab/>
      </w:r>
      <w:r w:rsidR="009C4415" w:rsidRPr="00F21E8E">
        <w:rPr>
          <w:rFonts w:ascii="Rockwell" w:hAnsi="Rockwell"/>
        </w:rPr>
        <w:tab/>
        <w:t>5</w:t>
      </w:r>
      <w:r w:rsidRPr="00F21E8E">
        <w:rPr>
          <w:rFonts w:ascii="Rockwell" w:hAnsi="Rockwell"/>
        </w:rPr>
        <w:t>3</w:t>
      </w:r>
      <w:r w:rsidR="009C4415" w:rsidRPr="00F21E8E">
        <w:rPr>
          <w:rFonts w:ascii="Rockwell" w:hAnsi="Rockwell"/>
        </w:rPr>
        <w:t>,0 millones</w:t>
      </w:r>
      <w:r w:rsidRPr="00F21E8E">
        <w:rPr>
          <w:rFonts w:ascii="Rockwell" w:hAnsi="Rockwell"/>
        </w:rPr>
        <w:t xml:space="preserve"> </w:t>
      </w:r>
    </w:p>
    <w:p w14:paraId="0849E6E4" w14:textId="075A2E45" w:rsidR="009C4415" w:rsidRPr="00F21E8E" w:rsidRDefault="00C4367F" w:rsidP="00EE1129">
      <w:pPr>
        <w:spacing w:before="120" w:after="0" w:line="240" w:lineRule="auto"/>
        <w:ind w:left="2268" w:firstLine="170"/>
        <w:jc w:val="both"/>
        <w:rPr>
          <w:rFonts w:ascii="Rockwell" w:hAnsi="Rockwell"/>
        </w:rPr>
      </w:pPr>
      <w:r w:rsidRPr="00F21E8E">
        <w:rPr>
          <w:rFonts w:ascii="Rockwell" w:hAnsi="Rockwell"/>
        </w:rPr>
        <w:t xml:space="preserve">Rusia </w:t>
      </w:r>
      <w:r w:rsidR="009C4415" w:rsidRPr="00F21E8E">
        <w:rPr>
          <w:rFonts w:ascii="Rockwell" w:hAnsi="Rockwell"/>
        </w:rPr>
        <w:tab/>
      </w:r>
      <w:r w:rsidR="009C4415" w:rsidRPr="00F21E8E">
        <w:rPr>
          <w:rFonts w:ascii="Rockwell" w:hAnsi="Rockwell"/>
        </w:rPr>
        <w:tab/>
      </w:r>
      <w:r w:rsidR="009C4415" w:rsidRPr="00F21E8E">
        <w:rPr>
          <w:rFonts w:ascii="Rockwell" w:hAnsi="Rockwell"/>
        </w:rPr>
        <w:tab/>
      </w:r>
      <w:r w:rsidR="009C4415" w:rsidRPr="00F21E8E">
        <w:rPr>
          <w:rFonts w:ascii="Rockwell" w:hAnsi="Rockwell"/>
        </w:rPr>
        <w:tab/>
      </w:r>
      <w:r w:rsidRPr="00F21E8E">
        <w:rPr>
          <w:rFonts w:ascii="Rockwell" w:hAnsi="Rockwell"/>
        </w:rPr>
        <w:t xml:space="preserve">12,3 millones </w:t>
      </w:r>
    </w:p>
    <w:p w14:paraId="19852DEB" w14:textId="0A12501F" w:rsidR="009C4415" w:rsidRPr="00F21E8E" w:rsidRDefault="00C4367F" w:rsidP="00EE1129">
      <w:pPr>
        <w:spacing w:before="120" w:after="0" w:line="240" w:lineRule="auto"/>
        <w:ind w:left="2268" w:firstLine="170"/>
        <w:jc w:val="both"/>
        <w:rPr>
          <w:rFonts w:ascii="Rockwell" w:hAnsi="Rockwell"/>
        </w:rPr>
      </w:pPr>
      <w:r w:rsidRPr="00F21E8E">
        <w:rPr>
          <w:rFonts w:ascii="Rockwell" w:hAnsi="Rockwell"/>
        </w:rPr>
        <w:t xml:space="preserve">Alemania </w:t>
      </w:r>
      <w:r w:rsidR="009C4415" w:rsidRPr="00F21E8E">
        <w:rPr>
          <w:rFonts w:ascii="Rockwell" w:hAnsi="Rockwell"/>
        </w:rPr>
        <w:tab/>
      </w:r>
      <w:r w:rsidR="009C4415" w:rsidRPr="00F21E8E">
        <w:rPr>
          <w:rFonts w:ascii="Rockwell" w:hAnsi="Rockwell"/>
        </w:rPr>
        <w:tab/>
      </w:r>
      <w:r w:rsidR="009C4415" w:rsidRPr="00F21E8E">
        <w:rPr>
          <w:rFonts w:ascii="Rockwell" w:hAnsi="Rockwell"/>
        </w:rPr>
        <w:tab/>
      </w:r>
      <w:r w:rsidR="009C4415" w:rsidRPr="00F21E8E">
        <w:rPr>
          <w:rFonts w:ascii="Rockwell" w:hAnsi="Rockwell"/>
        </w:rPr>
        <w:tab/>
      </w:r>
      <w:r w:rsidRPr="00F21E8E">
        <w:rPr>
          <w:rFonts w:ascii="Rockwell" w:hAnsi="Rockwell"/>
        </w:rPr>
        <w:t xml:space="preserve">10,8 millones </w:t>
      </w:r>
    </w:p>
    <w:p w14:paraId="0842C030" w14:textId="127F455F" w:rsidR="009C4415" w:rsidRPr="00F21E8E" w:rsidRDefault="00C4367F" w:rsidP="00EE1129">
      <w:pPr>
        <w:spacing w:before="120" w:after="0" w:line="240" w:lineRule="auto"/>
        <w:ind w:left="2268" w:firstLine="170"/>
        <w:jc w:val="both"/>
        <w:rPr>
          <w:rFonts w:ascii="Rockwell" w:hAnsi="Rockwell"/>
        </w:rPr>
      </w:pPr>
      <w:r w:rsidRPr="00F21E8E">
        <w:rPr>
          <w:rFonts w:ascii="Rockwell" w:hAnsi="Rockwell"/>
        </w:rPr>
        <w:t>Arabia Saud</w:t>
      </w:r>
      <w:r w:rsidR="009C4415" w:rsidRPr="00F21E8E">
        <w:rPr>
          <w:rFonts w:ascii="Rockwell" w:hAnsi="Rockwell"/>
        </w:rPr>
        <w:t>ita</w:t>
      </w:r>
      <w:r w:rsidRPr="00F21E8E">
        <w:rPr>
          <w:rFonts w:ascii="Rockwell" w:hAnsi="Rockwell"/>
        </w:rPr>
        <w:t xml:space="preserve"> </w:t>
      </w:r>
      <w:r w:rsidR="009C4415" w:rsidRPr="00F21E8E">
        <w:rPr>
          <w:rFonts w:ascii="Rockwell" w:hAnsi="Rockwell"/>
        </w:rPr>
        <w:tab/>
      </w:r>
      <w:r w:rsidR="009C4415" w:rsidRPr="00F21E8E">
        <w:rPr>
          <w:rFonts w:ascii="Rockwell" w:hAnsi="Rockwell"/>
        </w:rPr>
        <w:tab/>
      </w:r>
      <w:r w:rsidR="00481E74" w:rsidRPr="00F21E8E">
        <w:rPr>
          <w:rFonts w:ascii="Rockwell" w:hAnsi="Rockwell"/>
        </w:rPr>
        <w:tab/>
        <w:t xml:space="preserve"> 7</w:t>
      </w:r>
      <w:r w:rsidRPr="00F21E8E">
        <w:rPr>
          <w:rFonts w:ascii="Rockwell" w:hAnsi="Rockwell"/>
        </w:rPr>
        <w:t xml:space="preserve">,3 millones </w:t>
      </w:r>
    </w:p>
    <w:p w14:paraId="68FA5BB9" w14:textId="51F615E3" w:rsidR="009C4415" w:rsidRPr="00F21E8E" w:rsidRDefault="00C4367F" w:rsidP="00EE1129">
      <w:pPr>
        <w:spacing w:before="120" w:after="0" w:line="240" w:lineRule="auto"/>
        <w:ind w:left="2268" w:firstLine="170"/>
        <w:jc w:val="both"/>
        <w:rPr>
          <w:rFonts w:ascii="Rockwell" w:hAnsi="Rockwell"/>
        </w:rPr>
      </w:pPr>
      <w:r w:rsidRPr="00F21E8E">
        <w:rPr>
          <w:rFonts w:ascii="Rockwell" w:hAnsi="Rockwell"/>
        </w:rPr>
        <w:t>Canadá</w:t>
      </w:r>
      <w:r w:rsidR="009C4415" w:rsidRPr="00F21E8E">
        <w:rPr>
          <w:rFonts w:ascii="Rockwell" w:hAnsi="Rockwell"/>
        </w:rPr>
        <w:tab/>
      </w:r>
      <w:r w:rsidR="009C4415" w:rsidRPr="00F21E8E">
        <w:rPr>
          <w:rFonts w:ascii="Rockwell" w:hAnsi="Rockwell"/>
        </w:rPr>
        <w:tab/>
      </w:r>
      <w:r w:rsidR="009C4415" w:rsidRPr="00F21E8E">
        <w:rPr>
          <w:rFonts w:ascii="Rockwell" w:hAnsi="Rockwell"/>
        </w:rPr>
        <w:tab/>
      </w:r>
      <w:r w:rsidR="00481E74" w:rsidRPr="00F21E8E">
        <w:rPr>
          <w:rFonts w:ascii="Rockwell" w:hAnsi="Rockwell"/>
        </w:rPr>
        <w:tab/>
        <w:t xml:space="preserve"> 7</w:t>
      </w:r>
      <w:r w:rsidRPr="00F21E8E">
        <w:rPr>
          <w:rFonts w:ascii="Rockwell" w:hAnsi="Rockwell"/>
        </w:rPr>
        <w:t xml:space="preserve">,2 millones </w:t>
      </w:r>
    </w:p>
    <w:p w14:paraId="26640C44" w14:textId="233D9FD6" w:rsidR="009C4415" w:rsidRPr="00F21E8E" w:rsidRDefault="00C4367F" w:rsidP="00EE1129">
      <w:pPr>
        <w:spacing w:before="120" w:after="0" w:line="240" w:lineRule="auto"/>
        <w:ind w:left="2268" w:firstLine="170"/>
        <w:jc w:val="both"/>
        <w:rPr>
          <w:rFonts w:ascii="Rockwell" w:hAnsi="Rockwell"/>
        </w:rPr>
      </w:pPr>
      <w:r w:rsidRPr="00F21E8E">
        <w:rPr>
          <w:rFonts w:ascii="Rockwell" w:hAnsi="Rockwell"/>
        </w:rPr>
        <w:t xml:space="preserve">Francia </w:t>
      </w:r>
      <w:r w:rsidR="009C4415" w:rsidRPr="00F21E8E">
        <w:rPr>
          <w:rFonts w:ascii="Rockwell" w:hAnsi="Rockwell"/>
        </w:rPr>
        <w:tab/>
      </w:r>
      <w:r w:rsidR="009C4415" w:rsidRPr="00F21E8E">
        <w:rPr>
          <w:rFonts w:ascii="Rockwell" w:hAnsi="Rockwell"/>
        </w:rPr>
        <w:tab/>
      </w:r>
      <w:r w:rsidR="009C4415" w:rsidRPr="00F21E8E">
        <w:rPr>
          <w:rFonts w:ascii="Rockwell" w:hAnsi="Rockwell"/>
        </w:rPr>
        <w:tab/>
      </w:r>
      <w:r w:rsidR="00481E74" w:rsidRPr="00F21E8E">
        <w:rPr>
          <w:rFonts w:ascii="Rockwell" w:hAnsi="Rockwell"/>
        </w:rPr>
        <w:tab/>
        <w:t xml:space="preserve"> 6</w:t>
      </w:r>
      <w:r w:rsidRPr="00F21E8E">
        <w:rPr>
          <w:rFonts w:ascii="Rockwell" w:hAnsi="Rockwell"/>
        </w:rPr>
        <w:t xml:space="preserve">,7 millones </w:t>
      </w:r>
    </w:p>
    <w:p w14:paraId="4EDF4849" w14:textId="3DB63011" w:rsidR="009C4415" w:rsidRPr="00F21E8E" w:rsidRDefault="00C4367F" w:rsidP="00EE1129">
      <w:pPr>
        <w:spacing w:before="120" w:after="0" w:line="240" w:lineRule="auto"/>
        <w:ind w:left="2268" w:firstLine="170"/>
        <w:jc w:val="both"/>
        <w:rPr>
          <w:rFonts w:ascii="Rockwell" w:hAnsi="Rockwell"/>
        </w:rPr>
      </w:pPr>
      <w:r w:rsidRPr="00F21E8E">
        <w:rPr>
          <w:rFonts w:ascii="Rockwell" w:hAnsi="Rockwell"/>
        </w:rPr>
        <w:t xml:space="preserve">Reino Unido </w:t>
      </w:r>
      <w:r w:rsidR="009C4415" w:rsidRPr="00F21E8E">
        <w:rPr>
          <w:rFonts w:ascii="Rockwell" w:hAnsi="Rockwell"/>
        </w:rPr>
        <w:tab/>
      </w:r>
      <w:r w:rsidR="009C4415" w:rsidRPr="00F21E8E">
        <w:rPr>
          <w:rFonts w:ascii="Rockwell" w:hAnsi="Rockwell"/>
        </w:rPr>
        <w:tab/>
      </w:r>
      <w:r w:rsidR="00481E74" w:rsidRPr="00F21E8E">
        <w:rPr>
          <w:rFonts w:ascii="Rockwell" w:hAnsi="Rockwell"/>
        </w:rPr>
        <w:tab/>
        <w:t xml:space="preserve"> 6</w:t>
      </w:r>
      <w:r w:rsidRPr="00F21E8E">
        <w:rPr>
          <w:rFonts w:ascii="Rockwell" w:hAnsi="Rockwell"/>
        </w:rPr>
        <w:t xml:space="preserve">,5 millones </w:t>
      </w:r>
    </w:p>
    <w:p w14:paraId="67892485" w14:textId="05178C8D" w:rsidR="009C4415" w:rsidRPr="00F21E8E" w:rsidRDefault="00C4367F" w:rsidP="00EE1129">
      <w:pPr>
        <w:spacing w:before="120" w:after="0" w:line="240" w:lineRule="auto"/>
        <w:ind w:left="2268" w:firstLine="170"/>
        <w:jc w:val="both"/>
        <w:rPr>
          <w:rFonts w:ascii="Rockwell" w:hAnsi="Rockwell"/>
        </w:rPr>
      </w:pPr>
      <w:r w:rsidRPr="00F21E8E">
        <w:rPr>
          <w:rFonts w:ascii="Rockwell" w:hAnsi="Rockwell"/>
        </w:rPr>
        <w:t xml:space="preserve">España </w:t>
      </w:r>
      <w:r w:rsidR="009C4415" w:rsidRPr="00F21E8E">
        <w:rPr>
          <w:rFonts w:ascii="Rockwell" w:hAnsi="Rockwell"/>
        </w:rPr>
        <w:tab/>
      </w:r>
      <w:r w:rsidR="009C4415" w:rsidRPr="00F21E8E">
        <w:rPr>
          <w:rFonts w:ascii="Rockwell" w:hAnsi="Rockwell"/>
        </w:rPr>
        <w:tab/>
      </w:r>
      <w:r w:rsidR="009C4415" w:rsidRPr="00F21E8E">
        <w:rPr>
          <w:rFonts w:ascii="Rockwell" w:hAnsi="Rockwell"/>
        </w:rPr>
        <w:tab/>
      </w:r>
      <w:r w:rsidR="00481E74" w:rsidRPr="00F21E8E">
        <w:rPr>
          <w:rFonts w:ascii="Rockwell" w:hAnsi="Rockwell"/>
        </w:rPr>
        <w:tab/>
        <w:t xml:space="preserve"> 6</w:t>
      </w:r>
      <w:r w:rsidRPr="00F21E8E">
        <w:rPr>
          <w:rFonts w:ascii="Rockwell" w:hAnsi="Rockwell"/>
        </w:rPr>
        <w:t>,4 millones</w:t>
      </w:r>
    </w:p>
    <w:p w14:paraId="64D55622" w14:textId="6329B14F" w:rsidR="00C4367F" w:rsidRPr="00F21E8E" w:rsidRDefault="009C4415" w:rsidP="00EE1129">
      <w:pPr>
        <w:spacing w:before="120" w:after="0" w:line="240" w:lineRule="auto"/>
        <w:ind w:left="2268" w:firstLine="170"/>
        <w:jc w:val="both"/>
        <w:rPr>
          <w:rFonts w:ascii="Rockwell" w:hAnsi="Rockwell"/>
          <w:b/>
          <w:bCs/>
        </w:rPr>
      </w:pPr>
      <w:r w:rsidRPr="00F21E8E">
        <w:rPr>
          <w:rFonts w:ascii="Rockwell" w:hAnsi="Rockwell"/>
          <w:b/>
          <w:bCs/>
        </w:rPr>
        <w:t>TOTAL --------------------------</w:t>
      </w:r>
      <w:r w:rsidR="00B973CC" w:rsidRPr="00F21E8E">
        <w:rPr>
          <w:rFonts w:ascii="Rockwell" w:hAnsi="Rockwell"/>
          <w:b/>
          <w:bCs/>
        </w:rPr>
        <w:t>----</w:t>
      </w:r>
      <w:r w:rsidR="00812377">
        <w:rPr>
          <w:rFonts w:ascii="Rockwell" w:hAnsi="Rockwell"/>
          <w:b/>
          <w:bCs/>
        </w:rPr>
        <w:t>-</w:t>
      </w:r>
      <w:r w:rsidR="00F21E8E" w:rsidRPr="00F21E8E">
        <w:rPr>
          <w:rFonts w:ascii="Rockwell" w:hAnsi="Rockwell"/>
          <w:b/>
          <w:bCs/>
        </w:rPr>
        <w:t xml:space="preserve"> </w:t>
      </w:r>
      <w:r w:rsidRPr="00812377">
        <w:rPr>
          <w:rFonts w:ascii="Rockwell" w:hAnsi="Rockwell"/>
          <w:b/>
          <w:bCs/>
          <w:sz w:val="20"/>
          <w:szCs w:val="20"/>
        </w:rPr>
        <w:t>110,2 millones</w:t>
      </w:r>
    </w:p>
    <w:p w14:paraId="6E21A089" w14:textId="4FEC7267" w:rsidR="00B61C16" w:rsidRPr="00F21E8E" w:rsidRDefault="00B61C16" w:rsidP="00EE1129">
      <w:pPr>
        <w:spacing w:before="120" w:after="0" w:line="240" w:lineRule="auto"/>
        <w:ind w:left="2268" w:firstLine="170"/>
        <w:jc w:val="right"/>
        <w:rPr>
          <w:rFonts w:ascii="Rockwell" w:hAnsi="Rockwell"/>
          <w:i/>
          <w:iCs/>
        </w:rPr>
      </w:pPr>
      <w:r w:rsidRPr="00F21E8E">
        <w:rPr>
          <w:rFonts w:ascii="Rockwell" w:hAnsi="Rockwell"/>
          <w:i/>
          <w:iCs/>
        </w:rPr>
        <w:t>Fuente: PNUD, 2011</w:t>
      </w:r>
    </w:p>
    <w:p w14:paraId="1B2093CF" w14:textId="77777777" w:rsidR="00C17CF0" w:rsidRDefault="00C17CF0" w:rsidP="00B973CC">
      <w:pPr>
        <w:spacing w:before="120" w:after="0" w:line="240" w:lineRule="auto"/>
        <w:ind w:firstLine="170"/>
        <w:jc w:val="both"/>
        <w:rPr>
          <w:rFonts w:ascii="Rockwell" w:hAnsi="Rockwell"/>
        </w:rPr>
      </w:pPr>
    </w:p>
    <w:p w14:paraId="70EDF4AF" w14:textId="6BE71514"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Dentro del total de migrantes internacionales también se considera a los </w:t>
      </w:r>
      <w:r w:rsidRPr="00F21E8E">
        <w:rPr>
          <w:rFonts w:ascii="Rockwell" w:hAnsi="Rockwell"/>
          <w:b/>
          <w:bCs/>
        </w:rPr>
        <w:t>refugiados,</w:t>
      </w:r>
      <w:r w:rsidRPr="00F21E8E">
        <w:rPr>
          <w:rFonts w:ascii="Rockwell" w:hAnsi="Rockwell"/>
        </w:rPr>
        <w:t xml:space="preserve"> que en 2010 sumaban según Naciones Unidas 16,3 millones de personas, lo que representa un aumento respecto de la cifra de 2005 pero, a su vez, un claro descenso respecto de 1990, cuando </w:t>
      </w:r>
      <w:r w:rsidR="002C212C" w:rsidRPr="00F21E8E">
        <w:rPr>
          <w:rFonts w:ascii="Rockwell" w:hAnsi="Rockwell"/>
        </w:rPr>
        <w:t>existían</w:t>
      </w:r>
      <w:r w:rsidRPr="00F21E8E">
        <w:rPr>
          <w:rFonts w:ascii="Rockwell" w:hAnsi="Rockwell"/>
        </w:rPr>
        <w:t xml:space="preserve"> 18,5 millones de refugiados. </w:t>
      </w:r>
      <w:r w:rsidR="00C42832">
        <w:rPr>
          <w:rFonts w:ascii="Rockwell" w:hAnsi="Rockwell"/>
        </w:rPr>
        <w:t>Esto</w:t>
      </w:r>
      <w:r w:rsidRPr="00F21E8E">
        <w:rPr>
          <w:rFonts w:ascii="Rockwell" w:hAnsi="Rockwell"/>
        </w:rPr>
        <w:t xml:space="preserve"> implica un descenso desde 0,35 % en 1990 a 0,24 % </w:t>
      </w:r>
      <w:r w:rsidR="008111C1" w:rsidRPr="00F21E8E">
        <w:rPr>
          <w:rFonts w:ascii="Rockwell" w:hAnsi="Rockwell"/>
        </w:rPr>
        <w:t xml:space="preserve">de la población mundial </w:t>
      </w:r>
      <w:r w:rsidRPr="00F21E8E">
        <w:rPr>
          <w:rFonts w:ascii="Rockwell" w:hAnsi="Rockwell"/>
        </w:rPr>
        <w:t>en 2010.</w:t>
      </w:r>
    </w:p>
    <w:p w14:paraId="101F56C2" w14:textId="6EB4B673" w:rsidR="009C4415"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De los 209 Estados existentes, 43 países se encuentran recibiendo inmigrantes, mientras que sólo 32 envían y 23 reciben y envían. Un gran número de países están viviendo o desarrollando estos procesos migratorios, con Estados Unidos a la cabeza, con 35 millones de inmigrantes. </w:t>
      </w:r>
      <w:r w:rsidR="008111C1" w:rsidRPr="00F21E8E">
        <w:rPr>
          <w:rFonts w:ascii="Rockwell" w:hAnsi="Rockwell"/>
        </w:rPr>
        <w:t>E</w:t>
      </w:r>
      <w:r w:rsidRPr="00F21E8E">
        <w:rPr>
          <w:rFonts w:ascii="Rockwell" w:hAnsi="Rockwell"/>
        </w:rPr>
        <w:t xml:space="preserve">l número total de migrantes asciende a más de 175 millones de personas, esto es, el 2,9 % de la población mundial vive fuera de su país de origen. Según </w:t>
      </w:r>
      <w:r w:rsidR="00623D14" w:rsidRPr="00F21E8E">
        <w:rPr>
          <w:rFonts w:ascii="Rockwell" w:hAnsi="Rockwell"/>
        </w:rPr>
        <w:t xml:space="preserve">el </w:t>
      </w:r>
      <w:r w:rsidR="00623D14" w:rsidRPr="00F21E8E">
        <w:rPr>
          <w:rFonts w:ascii="Rockwell" w:hAnsi="Rockwell"/>
          <w:b/>
          <w:bCs/>
        </w:rPr>
        <w:t>Consejo Nacional de Población - México</w:t>
      </w:r>
      <w:r w:rsidRPr="00F21E8E">
        <w:rPr>
          <w:rFonts w:ascii="Rockwell" w:hAnsi="Rockwell"/>
          <w:b/>
          <w:bCs/>
        </w:rPr>
        <w:t>,</w:t>
      </w:r>
      <w:r w:rsidRPr="00F21E8E">
        <w:rPr>
          <w:rFonts w:ascii="Rockwell" w:hAnsi="Rockwell"/>
        </w:rPr>
        <w:t xml:space="preserve"> entre 1995 </w:t>
      </w:r>
      <w:r w:rsidR="00B61C16" w:rsidRPr="00F21E8E">
        <w:rPr>
          <w:rFonts w:ascii="Rockwell" w:hAnsi="Rockwell"/>
        </w:rPr>
        <w:t>-</w:t>
      </w:r>
      <w:r w:rsidRPr="00F21E8E">
        <w:rPr>
          <w:rFonts w:ascii="Rockwell" w:hAnsi="Rockwell"/>
        </w:rPr>
        <w:t xml:space="preserve"> 2000, </w:t>
      </w:r>
      <w:r w:rsidR="00B61C16" w:rsidRPr="00F21E8E">
        <w:rPr>
          <w:rFonts w:ascii="Rockwell" w:hAnsi="Rockwell"/>
        </w:rPr>
        <w:t>un</w:t>
      </w:r>
      <w:r w:rsidRPr="00F21E8E">
        <w:rPr>
          <w:rFonts w:ascii="Rockwell" w:hAnsi="Rockwell"/>
        </w:rPr>
        <w:t xml:space="preserve"> millón 209 mil mexicanos emigraron a Estados Unidos, sin embargo, entre 2005 </w:t>
      </w:r>
      <w:r w:rsidR="00B61C16" w:rsidRPr="00F21E8E">
        <w:rPr>
          <w:rFonts w:ascii="Rockwell" w:hAnsi="Rockwell"/>
        </w:rPr>
        <w:t>-</w:t>
      </w:r>
      <w:r w:rsidRPr="00F21E8E">
        <w:rPr>
          <w:rFonts w:ascii="Rockwell" w:hAnsi="Rockwell"/>
        </w:rPr>
        <w:t xml:space="preserve"> 2010, únicamente lo hicieron 683 mil </w:t>
      </w:r>
      <w:r w:rsidR="00B61C16" w:rsidRPr="00F21E8E">
        <w:rPr>
          <w:rFonts w:ascii="Rockwell" w:hAnsi="Rockwell"/>
        </w:rPr>
        <w:t>mexicano</w:t>
      </w:r>
      <w:r w:rsidRPr="00F21E8E">
        <w:rPr>
          <w:rFonts w:ascii="Rockwell" w:hAnsi="Rockwell"/>
        </w:rPr>
        <w:t xml:space="preserve">s. </w:t>
      </w:r>
    </w:p>
    <w:p w14:paraId="5E02E82E" w14:textId="35987700" w:rsidR="00C4367F" w:rsidRDefault="00C4367F" w:rsidP="00B973CC">
      <w:pPr>
        <w:spacing w:before="120" w:after="0" w:line="240" w:lineRule="auto"/>
        <w:ind w:firstLine="170"/>
        <w:jc w:val="both"/>
        <w:rPr>
          <w:rFonts w:ascii="Rockwell" w:hAnsi="Rockwell"/>
        </w:rPr>
      </w:pPr>
      <w:r w:rsidRPr="00F21E8E">
        <w:rPr>
          <w:rFonts w:ascii="Rockwell" w:hAnsi="Rockwell"/>
        </w:rPr>
        <w:t xml:space="preserve">Por otro lado, aumentó la </w:t>
      </w:r>
      <w:r w:rsidRPr="00F21E8E">
        <w:rPr>
          <w:rFonts w:ascii="Rockwell" w:hAnsi="Rockwell"/>
          <w:b/>
          <w:bCs/>
        </w:rPr>
        <w:t>migración de retorno,</w:t>
      </w:r>
      <w:r w:rsidRPr="00F21E8E">
        <w:rPr>
          <w:rFonts w:ascii="Rockwell" w:hAnsi="Rockwell"/>
        </w:rPr>
        <w:t xml:space="preserve"> de 267 mil migrantes entre 1995 </w:t>
      </w:r>
      <w:r w:rsidR="00B61C16" w:rsidRPr="00F21E8E">
        <w:rPr>
          <w:rFonts w:ascii="Rockwell" w:hAnsi="Rockwell"/>
        </w:rPr>
        <w:t>-</w:t>
      </w:r>
      <w:r w:rsidRPr="00F21E8E">
        <w:rPr>
          <w:rFonts w:ascii="Rockwell" w:hAnsi="Rockwell"/>
        </w:rPr>
        <w:t xml:space="preserve"> 2000, a 824 mil en el quinquenio de 2005</w:t>
      </w:r>
      <w:r w:rsidR="00B61C16" w:rsidRPr="00F21E8E">
        <w:rPr>
          <w:rFonts w:ascii="Rockwell" w:hAnsi="Rockwell"/>
        </w:rPr>
        <w:t xml:space="preserve"> </w:t>
      </w:r>
      <w:r w:rsidRPr="00F21E8E">
        <w:rPr>
          <w:rFonts w:ascii="Rockwell" w:hAnsi="Rockwell"/>
        </w:rPr>
        <w:t>-</w:t>
      </w:r>
      <w:r w:rsidR="00B61C16" w:rsidRPr="00F21E8E">
        <w:rPr>
          <w:rFonts w:ascii="Rockwell" w:hAnsi="Rockwell"/>
        </w:rPr>
        <w:t xml:space="preserve"> </w:t>
      </w:r>
      <w:r w:rsidRPr="00F21E8E">
        <w:rPr>
          <w:rFonts w:ascii="Rockwell" w:hAnsi="Rockwell"/>
        </w:rPr>
        <w:t xml:space="preserve">2010, lo que representa un incremento del 300%. </w:t>
      </w:r>
    </w:p>
    <w:p w14:paraId="41C44AFD" w14:textId="77777777" w:rsidR="00C42832" w:rsidRPr="00F21E8E" w:rsidRDefault="00C42832" w:rsidP="00B973CC">
      <w:pPr>
        <w:spacing w:before="120" w:after="0" w:line="240" w:lineRule="auto"/>
        <w:ind w:firstLine="170"/>
        <w:jc w:val="both"/>
        <w:rPr>
          <w:rFonts w:ascii="Rockwell" w:hAnsi="Rockwell"/>
        </w:rPr>
      </w:pPr>
    </w:p>
    <w:p w14:paraId="51BD7147" w14:textId="3519FEF6" w:rsidR="00C4367F" w:rsidRPr="00F21E8E" w:rsidRDefault="00C4367F" w:rsidP="00B973CC">
      <w:pPr>
        <w:spacing w:before="120" w:after="0" w:line="240" w:lineRule="auto"/>
        <w:ind w:firstLine="170"/>
        <w:jc w:val="both"/>
        <w:rPr>
          <w:rFonts w:ascii="Rockwell" w:hAnsi="Rockwell"/>
          <w:b/>
          <w:bCs/>
        </w:rPr>
      </w:pPr>
      <w:r w:rsidRPr="00F21E8E">
        <w:rPr>
          <w:rFonts w:ascii="Rockwell" w:hAnsi="Rockwell"/>
          <w:b/>
          <w:bCs/>
        </w:rPr>
        <w:t xml:space="preserve">Vulnerabilidad de niños y familias migrantes </w:t>
      </w:r>
    </w:p>
    <w:p w14:paraId="2A99A752" w14:textId="25E8CAB1"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Los migrantes que se ven forzados a dejar su hogar, su país, su comunidad, sus redes de apoyo para buscar un futuro mejor son, en gran medida, jóvenes y en los últimos años se ha aumentado la cantidad de niños y niñas migrantes. El corredor </w:t>
      </w:r>
      <w:r w:rsidRPr="00F21E8E">
        <w:rPr>
          <w:rFonts w:ascii="Rockwell" w:hAnsi="Rockwell"/>
          <w:b/>
          <w:bCs/>
        </w:rPr>
        <w:t>América Central</w:t>
      </w:r>
      <w:r w:rsidR="00CF606A" w:rsidRPr="00F21E8E">
        <w:rPr>
          <w:rFonts w:ascii="Rockwell" w:hAnsi="Rockwell"/>
          <w:b/>
          <w:bCs/>
        </w:rPr>
        <w:t xml:space="preserve"> – </w:t>
      </w:r>
      <w:r w:rsidRPr="00F21E8E">
        <w:rPr>
          <w:rFonts w:ascii="Rockwell" w:hAnsi="Rockwell"/>
          <w:b/>
          <w:bCs/>
        </w:rPr>
        <w:t>México</w:t>
      </w:r>
      <w:r w:rsidR="00CF606A" w:rsidRPr="00F21E8E">
        <w:rPr>
          <w:rFonts w:ascii="Rockwell" w:hAnsi="Rockwell"/>
          <w:b/>
          <w:bCs/>
        </w:rPr>
        <w:t xml:space="preserve"> </w:t>
      </w:r>
      <w:r w:rsidRPr="00F21E8E">
        <w:rPr>
          <w:rFonts w:ascii="Rockwell" w:hAnsi="Rockwell"/>
          <w:b/>
          <w:bCs/>
        </w:rPr>
        <w:t>-</w:t>
      </w:r>
      <w:r w:rsidR="00CF606A" w:rsidRPr="00F21E8E">
        <w:rPr>
          <w:rFonts w:ascii="Rockwell" w:hAnsi="Rockwell"/>
          <w:b/>
          <w:bCs/>
        </w:rPr>
        <w:t xml:space="preserve"> </w:t>
      </w:r>
      <w:r w:rsidRPr="00F21E8E">
        <w:rPr>
          <w:rFonts w:ascii="Rockwell" w:hAnsi="Rockwell"/>
          <w:b/>
          <w:bCs/>
        </w:rPr>
        <w:t>Estados Unidos</w:t>
      </w:r>
      <w:r w:rsidRPr="00F21E8E">
        <w:rPr>
          <w:rFonts w:ascii="Rockwell" w:hAnsi="Rockwell"/>
        </w:rPr>
        <w:t xml:space="preserve"> sobresale en los últimos años al ver multiplicado por diez el número de niñas, niños y adolescentes migrantes, según estudios recientes.</w:t>
      </w:r>
      <w:r w:rsidR="00C42832">
        <w:rPr>
          <w:rFonts w:ascii="Rockwell" w:hAnsi="Rockwell"/>
        </w:rPr>
        <w:t xml:space="preserve"> </w:t>
      </w:r>
      <w:r w:rsidR="00DA15A1">
        <w:rPr>
          <w:rFonts w:ascii="Rockwell" w:hAnsi="Rockwell"/>
        </w:rPr>
        <w:t>C</w:t>
      </w:r>
      <w:r w:rsidRPr="00F21E8E">
        <w:rPr>
          <w:rFonts w:ascii="Rockwell" w:hAnsi="Rockwell"/>
        </w:rPr>
        <w:t xml:space="preserve">orre mucho más riesgo un niño o niña de corta </w:t>
      </w:r>
      <w:r w:rsidRPr="00F21E8E">
        <w:rPr>
          <w:rFonts w:ascii="Rockwell" w:hAnsi="Rockwell"/>
        </w:rPr>
        <w:lastRenderedPageBreak/>
        <w:t>edad, que una persona adolescente entre 12 y 18 años, y corre más riesgo una persona adolescente que una persona adulta joven entre 19 y 29 años. El riesgo se incrementa cuando la persona menor de edad viaja sola o no acompañada.</w:t>
      </w:r>
    </w:p>
    <w:p w14:paraId="25AD9E9C" w14:textId="2A34FA6B" w:rsidR="00C4367F" w:rsidRPr="00F21E8E" w:rsidRDefault="00C42832" w:rsidP="00B973CC">
      <w:pPr>
        <w:spacing w:before="120" w:after="0" w:line="240" w:lineRule="auto"/>
        <w:ind w:firstLine="170"/>
        <w:jc w:val="both"/>
        <w:rPr>
          <w:rFonts w:ascii="Rockwell" w:hAnsi="Rockwell"/>
        </w:rPr>
      </w:pPr>
      <w:r>
        <w:rPr>
          <w:rFonts w:ascii="Rockwell" w:hAnsi="Rockwell"/>
          <w:noProof/>
        </w:rPr>
        <w:drawing>
          <wp:anchor distT="0" distB="0" distL="114300" distR="114300" simplePos="0" relativeHeight="251665408" behindDoc="0" locked="0" layoutInCell="1" allowOverlap="1" wp14:anchorId="4C901C01" wp14:editId="1DF9558E">
            <wp:simplePos x="0" y="0"/>
            <wp:positionH relativeFrom="margin">
              <wp:align>left</wp:align>
            </wp:positionH>
            <wp:positionV relativeFrom="paragraph">
              <wp:posOffset>593090</wp:posOffset>
            </wp:positionV>
            <wp:extent cx="3234690" cy="1819275"/>
            <wp:effectExtent l="0" t="0" r="3810" b="0"/>
            <wp:wrapSquare wrapText="bothSides"/>
            <wp:docPr id="138336544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4690" cy="1819275"/>
                    </a:xfrm>
                    <a:prstGeom prst="rect">
                      <a:avLst/>
                    </a:prstGeom>
                    <a:noFill/>
                  </pic:spPr>
                </pic:pic>
              </a:graphicData>
            </a:graphic>
            <wp14:sizeRelH relativeFrom="page">
              <wp14:pctWidth>0</wp14:pctWidth>
            </wp14:sizeRelH>
            <wp14:sizeRelV relativeFrom="page">
              <wp14:pctHeight>0</wp14:pctHeight>
            </wp14:sizeRelV>
          </wp:anchor>
        </w:drawing>
      </w:r>
      <w:r w:rsidR="00C4367F" w:rsidRPr="00F21E8E">
        <w:rPr>
          <w:rFonts w:ascii="Rockwell" w:hAnsi="Rockwell"/>
        </w:rPr>
        <w:t>El Comité de los Derechos del Niño advierte que las estadísticas sobre migración de menores en la región son estimadas por distintos organismos, por lo que es difícil cuantificar tanto este dato como el cumplimiento efectivo de sus derechos (UNICEF, 2006). Sin embargo, en México, un país con alto movimiento migratorio, la red de instituciones dedicadas a atender a esta población señala que hay 16</w:t>
      </w:r>
      <w:r w:rsidR="00361D0B" w:rsidRPr="00F21E8E">
        <w:rPr>
          <w:rFonts w:ascii="Rockwell" w:hAnsi="Rockwell"/>
        </w:rPr>
        <w:t xml:space="preserve"> </w:t>
      </w:r>
      <w:r w:rsidR="00C4367F" w:rsidRPr="00F21E8E">
        <w:rPr>
          <w:rFonts w:ascii="Rockwell" w:hAnsi="Rockwell"/>
        </w:rPr>
        <w:t xml:space="preserve">648 niños, niñas y adolescentes migrantes o </w:t>
      </w:r>
      <w:r w:rsidR="00277E38" w:rsidRPr="00F21E8E">
        <w:rPr>
          <w:rFonts w:ascii="Rockwell" w:hAnsi="Rockwell"/>
        </w:rPr>
        <w:t>repatriados</w:t>
      </w:r>
      <w:r w:rsidR="00C4367F" w:rsidRPr="00F21E8E">
        <w:rPr>
          <w:rFonts w:ascii="Rockwell" w:hAnsi="Rockwell"/>
        </w:rPr>
        <w:t xml:space="preserve"> no acompañados (UNICEF, 2013). En Argentina, la cifra de niños y niñas migrantes de entre 0 y 14 años asciende a 141</w:t>
      </w:r>
      <w:r w:rsidR="00361D0B" w:rsidRPr="00F21E8E">
        <w:rPr>
          <w:rFonts w:ascii="Rockwell" w:hAnsi="Rockwell"/>
        </w:rPr>
        <w:t xml:space="preserve"> </w:t>
      </w:r>
      <w:r w:rsidR="00C4367F" w:rsidRPr="00F21E8E">
        <w:rPr>
          <w:rFonts w:ascii="Rockwell" w:hAnsi="Rockwell"/>
        </w:rPr>
        <w:t xml:space="preserve">000 (UNICEF, 2014). </w:t>
      </w:r>
    </w:p>
    <w:p w14:paraId="58CE42C4" w14:textId="2AC19A2E"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 xml:space="preserve">En </w:t>
      </w:r>
      <w:r w:rsidR="009C4415" w:rsidRPr="00F21E8E">
        <w:rPr>
          <w:rFonts w:ascii="Rockwell" w:hAnsi="Rockwell"/>
        </w:rPr>
        <w:t xml:space="preserve">el </w:t>
      </w:r>
      <w:r w:rsidRPr="00F21E8E">
        <w:rPr>
          <w:rFonts w:ascii="Rockwell" w:hAnsi="Rockwell"/>
        </w:rPr>
        <w:t xml:space="preserve">caso de personas cuyo Estado de residencia es distinto del Estado de nacimiento ¿cuál de estos dos países debe garantizar el ejercicio de los derechos? ¿Cómo deben articularse ambos Estados para asegurar que se respeten los derechos de los niños y niñas que cruzan fronteras? ¿Qué políticas hay que poner en marcha para proteger los derechos de familias y de niños migrantes? </w:t>
      </w:r>
    </w:p>
    <w:p w14:paraId="30235960" w14:textId="77777777" w:rsidR="00B31F68" w:rsidRDefault="00B31F68" w:rsidP="00B973CC">
      <w:pPr>
        <w:spacing w:before="120" w:after="0" w:line="240" w:lineRule="auto"/>
        <w:ind w:firstLine="170"/>
        <w:jc w:val="both"/>
        <w:rPr>
          <w:rFonts w:ascii="Rockwell" w:hAnsi="Rockwell"/>
          <w:b/>
          <w:bCs/>
        </w:rPr>
      </w:pPr>
    </w:p>
    <w:p w14:paraId="7F8C3BE0" w14:textId="13188E9A" w:rsidR="00C4367F" w:rsidRPr="00F21E8E" w:rsidRDefault="00C4367F" w:rsidP="00B973CC">
      <w:pPr>
        <w:spacing w:before="120" w:after="0" w:line="240" w:lineRule="auto"/>
        <w:ind w:firstLine="170"/>
        <w:jc w:val="both"/>
        <w:rPr>
          <w:rFonts w:ascii="Rockwell" w:hAnsi="Rockwell"/>
          <w:b/>
          <w:bCs/>
        </w:rPr>
      </w:pPr>
      <w:r w:rsidRPr="00F21E8E">
        <w:rPr>
          <w:rFonts w:ascii="Rockwell" w:hAnsi="Rockwell"/>
          <w:b/>
          <w:bCs/>
        </w:rPr>
        <w:t>Factores de expulsión de NNA</w:t>
      </w:r>
    </w:p>
    <w:p w14:paraId="41E2042D" w14:textId="60EE0DC3"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La migración actual se caracteriza por ser joven y por un aumento considerable de mujeres y niños, niñas y adolescentes (NNA) entre las filas de personas migrantes.</w:t>
      </w:r>
    </w:p>
    <w:p w14:paraId="6A56FFB2" w14:textId="0CB4B85D"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Según diversos estudios y testimonios de personas migrantes jóvenes, los principales factores de expulsión o empuje que provocan el deseo y la decisión de migrar son:</w:t>
      </w:r>
    </w:p>
    <w:p w14:paraId="56070571" w14:textId="4A56E7E8" w:rsidR="00C4367F" w:rsidRPr="00F21E8E" w:rsidRDefault="00C4367F" w:rsidP="00B973CC">
      <w:pPr>
        <w:pStyle w:val="Prrafodelista"/>
        <w:numPr>
          <w:ilvl w:val="0"/>
          <w:numId w:val="2"/>
        </w:numPr>
        <w:spacing w:before="120" w:after="0" w:line="240" w:lineRule="auto"/>
        <w:ind w:left="884" w:hanging="357"/>
        <w:contextualSpacing w:val="0"/>
        <w:jc w:val="both"/>
        <w:rPr>
          <w:rFonts w:ascii="Rockwell" w:hAnsi="Rockwell"/>
          <w:i/>
          <w:iCs/>
        </w:rPr>
      </w:pPr>
      <w:r w:rsidRPr="00F21E8E">
        <w:rPr>
          <w:rFonts w:ascii="Rockwell" w:hAnsi="Rockwell"/>
          <w:i/>
          <w:iCs/>
        </w:rPr>
        <w:t>Deserción escolar: “70 % de los niños de la región latinoamericana abandonaron sus estudios por la necesidad de trabajar, mientras que 97 % de las niñas y adolescentes mujeres señalaron trabajo doméstico, maternidad y labores del hogar.” (PNUD, 2013).</w:t>
      </w:r>
    </w:p>
    <w:p w14:paraId="666890E5" w14:textId="49990E48" w:rsidR="00C4367F" w:rsidRPr="00F21E8E" w:rsidRDefault="00C4367F" w:rsidP="00B973CC">
      <w:pPr>
        <w:pStyle w:val="Prrafodelista"/>
        <w:numPr>
          <w:ilvl w:val="0"/>
          <w:numId w:val="2"/>
        </w:numPr>
        <w:spacing w:before="120" w:after="0" w:line="240" w:lineRule="auto"/>
        <w:ind w:left="884" w:hanging="357"/>
        <w:contextualSpacing w:val="0"/>
        <w:jc w:val="both"/>
        <w:rPr>
          <w:rFonts w:ascii="Rockwell" w:hAnsi="Rockwell"/>
          <w:i/>
          <w:iCs/>
        </w:rPr>
      </w:pPr>
      <w:r w:rsidRPr="00F21E8E">
        <w:rPr>
          <w:rFonts w:ascii="Rockwell" w:hAnsi="Rockwell"/>
          <w:i/>
          <w:iCs/>
        </w:rPr>
        <w:t xml:space="preserve">Desempleo Juvenil: son de 2.3 a 5.5 veces superior al desempleo de la población adulta, a la vez, el trabajo juvenil atiende a ser </w:t>
      </w:r>
      <w:r w:rsidR="002C212C" w:rsidRPr="00F21E8E">
        <w:rPr>
          <w:rFonts w:ascii="Rockwell" w:hAnsi="Rockwell"/>
          <w:i/>
          <w:iCs/>
        </w:rPr>
        <w:t>el</w:t>
      </w:r>
      <w:r w:rsidRPr="00F21E8E">
        <w:rPr>
          <w:rFonts w:ascii="Rockwell" w:hAnsi="Rockwell"/>
          <w:i/>
          <w:iCs/>
        </w:rPr>
        <w:t xml:space="preserve"> más precario y de más bajos ingresos.</w:t>
      </w:r>
    </w:p>
    <w:p w14:paraId="548BA105" w14:textId="48280BA2" w:rsidR="00C4367F" w:rsidRPr="00F21E8E" w:rsidRDefault="00C4367F" w:rsidP="00B973CC">
      <w:pPr>
        <w:pStyle w:val="Prrafodelista"/>
        <w:numPr>
          <w:ilvl w:val="0"/>
          <w:numId w:val="2"/>
        </w:numPr>
        <w:spacing w:before="120" w:after="0" w:line="240" w:lineRule="auto"/>
        <w:ind w:left="884" w:hanging="357"/>
        <w:contextualSpacing w:val="0"/>
        <w:jc w:val="both"/>
        <w:rPr>
          <w:rFonts w:ascii="Rockwell" w:hAnsi="Rockwell"/>
          <w:i/>
          <w:iCs/>
        </w:rPr>
      </w:pPr>
      <w:r w:rsidRPr="00F21E8E">
        <w:rPr>
          <w:rFonts w:ascii="Rockwell" w:hAnsi="Rockwell"/>
          <w:i/>
          <w:iCs/>
        </w:rPr>
        <w:t>Violencia, inseguridad: PNUD (2013) calculó en 30 000 niños, niñas y adolescentes (NNA) que cooperaban activamente con pandillas o grupos del crimen organizado.</w:t>
      </w:r>
    </w:p>
    <w:p w14:paraId="0BAD1203" w14:textId="2A924655" w:rsidR="00C4367F" w:rsidRPr="00F21E8E" w:rsidRDefault="00C4367F" w:rsidP="00B973CC">
      <w:pPr>
        <w:pStyle w:val="Prrafodelista"/>
        <w:numPr>
          <w:ilvl w:val="0"/>
          <w:numId w:val="2"/>
        </w:numPr>
        <w:spacing w:before="120" w:after="0" w:line="240" w:lineRule="auto"/>
        <w:ind w:left="884" w:hanging="357"/>
        <w:contextualSpacing w:val="0"/>
        <w:jc w:val="both"/>
        <w:rPr>
          <w:rFonts w:ascii="Rockwell" w:hAnsi="Rockwell"/>
          <w:i/>
          <w:iCs/>
        </w:rPr>
      </w:pPr>
      <w:r w:rsidRPr="00F21E8E">
        <w:rPr>
          <w:rFonts w:ascii="Rockwell" w:hAnsi="Rockwell"/>
          <w:i/>
          <w:iCs/>
        </w:rPr>
        <w:t>Violencia sexual: “Más del 70 % de delitos sexuales cometidos en Honduras, fueron cometidos contra niños y adolescentes entre los 12 y 18 años”, OIM (2013).</w:t>
      </w:r>
    </w:p>
    <w:p w14:paraId="0998C4BA" w14:textId="6A86CF81" w:rsidR="00C4367F" w:rsidRPr="00F21E8E" w:rsidRDefault="00C4367F" w:rsidP="00B973CC">
      <w:pPr>
        <w:pStyle w:val="Prrafodelista"/>
        <w:numPr>
          <w:ilvl w:val="0"/>
          <w:numId w:val="2"/>
        </w:numPr>
        <w:spacing w:before="120" w:after="0" w:line="240" w:lineRule="auto"/>
        <w:ind w:left="884" w:hanging="357"/>
        <w:contextualSpacing w:val="0"/>
        <w:jc w:val="both"/>
        <w:rPr>
          <w:rFonts w:ascii="Rockwell" w:hAnsi="Rockwell"/>
          <w:i/>
          <w:iCs/>
        </w:rPr>
      </w:pPr>
      <w:r w:rsidRPr="00F21E8E">
        <w:rPr>
          <w:rFonts w:ascii="Rockwell" w:hAnsi="Rockwell"/>
          <w:i/>
          <w:iCs/>
        </w:rPr>
        <w:t>Guerra: conflictos armados.</w:t>
      </w:r>
    </w:p>
    <w:p w14:paraId="44BFB98F" w14:textId="2D75DDEB" w:rsidR="00C4367F" w:rsidRPr="00F21E8E" w:rsidRDefault="00C4367F" w:rsidP="00B973CC">
      <w:pPr>
        <w:pStyle w:val="Prrafodelista"/>
        <w:numPr>
          <w:ilvl w:val="0"/>
          <w:numId w:val="2"/>
        </w:numPr>
        <w:spacing w:before="120" w:after="0" w:line="240" w:lineRule="auto"/>
        <w:ind w:left="884" w:hanging="357"/>
        <w:contextualSpacing w:val="0"/>
        <w:jc w:val="both"/>
        <w:rPr>
          <w:rFonts w:ascii="Rockwell" w:hAnsi="Rockwell"/>
          <w:i/>
          <w:iCs/>
        </w:rPr>
      </w:pPr>
      <w:r w:rsidRPr="00F21E8E">
        <w:rPr>
          <w:rFonts w:ascii="Rockwell" w:hAnsi="Rockwell"/>
          <w:i/>
          <w:iCs/>
        </w:rPr>
        <w:t>Persecución: raza, religión, nacionalidad, grupo social, género, opinión pública.</w:t>
      </w:r>
    </w:p>
    <w:p w14:paraId="0A3E8050" w14:textId="5A8411A9" w:rsidR="00C4367F" w:rsidRPr="00F21E8E" w:rsidRDefault="00C4367F" w:rsidP="00B973CC">
      <w:pPr>
        <w:pStyle w:val="Prrafodelista"/>
        <w:numPr>
          <w:ilvl w:val="0"/>
          <w:numId w:val="2"/>
        </w:numPr>
        <w:spacing w:before="120" w:after="0" w:line="240" w:lineRule="auto"/>
        <w:ind w:left="884" w:hanging="357"/>
        <w:contextualSpacing w:val="0"/>
        <w:jc w:val="both"/>
        <w:rPr>
          <w:rFonts w:ascii="Rockwell" w:hAnsi="Rockwell"/>
          <w:i/>
          <w:iCs/>
        </w:rPr>
      </w:pPr>
      <w:r w:rsidRPr="00F21E8E">
        <w:rPr>
          <w:rFonts w:ascii="Rockwell" w:hAnsi="Rockwell"/>
          <w:i/>
          <w:iCs/>
        </w:rPr>
        <w:t>Desintegración familiar: Las mujeres migran para laborar como trabajadoras domésticas, mientras tanto, sus hijos quedan al cuidado de otras mujeres (abuelas, tías, hermanas)</w:t>
      </w:r>
    </w:p>
    <w:p w14:paraId="3901D811" w14:textId="77777777" w:rsidR="00DA15A1" w:rsidRDefault="009C4415" w:rsidP="00B973CC">
      <w:pPr>
        <w:spacing w:before="120" w:after="0" w:line="240" w:lineRule="auto"/>
        <w:ind w:firstLine="170"/>
        <w:jc w:val="both"/>
        <w:rPr>
          <w:rFonts w:ascii="Rockwell" w:hAnsi="Rockwell"/>
        </w:rPr>
      </w:pPr>
      <w:r w:rsidRPr="00F21E8E">
        <w:rPr>
          <w:rFonts w:ascii="Rockwell" w:hAnsi="Rockwell"/>
        </w:rPr>
        <w:t>M</w:t>
      </w:r>
      <w:r w:rsidR="00C4367F" w:rsidRPr="00F21E8E">
        <w:rPr>
          <w:rFonts w:ascii="Rockwell" w:hAnsi="Rockwell"/>
        </w:rPr>
        <w:t xml:space="preserve">ujeres jóvenes y los niños constituyen una población vulnerable, especialmente durante los procesos migratorios. Los riesgos que ocasiona </w:t>
      </w:r>
      <w:r w:rsidRPr="00F21E8E">
        <w:rPr>
          <w:rFonts w:ascii="Rockwell" w:hAnsi="Rockwell"/>
        </w:rPr>
        <w:t>l</w:t>
      </w:r>
      <w:r w:rsidR="00C4367F" w:rsidRPr="00F21E8E">
        <w:rPr>
          <w:rFonts w:ascii="Rockwell" w:hAnsi="Rockwell"/>
        </w:rPr>
        <w:t xml:space="preserve">a vulnerabilidad se refieren a la precariedad económica, de información y de medios para la migración y a la existencia de bandas internacionales que intervienen para explotar a dichos migrantes. </w:t>
      </w:r>
    </w:p>
    <w:p w14:paraId="0E9C50BD" w14:textId="77777777" w:rsidR="00B31F68" w:rsidRDefault="00B31F68" w:rsidP="00B973CC">
      <w:pPr>
        <w:spacing w:before="120" w:after="0" w:line="240" w:lineRule="auto"/>
        <w:ind w:firstLine="170"/>
        <w:jc w:val="both"/>
        <w:rPr>
          <w:rFonts w:ascii="Rockwell" w:hAnsi="Rockwell"/>
        </w:rPr>
      </w:pPr>
    </w:p>
    <w:p w14:paraId="4754FFF4" w14:textId="7DD4EA1D" w:rsidR="00C4367F" w:rsidRPr="00DA15A1" w:rsidRDefault="00DA15A1" w:rsidP="00B973CC">
      <w:pPr>
        <w:spacing w:before="120" w:after="0" w:line="240" w:lineRule="auto"/>
        <w:ind w:firstLine="170"/>
        <w:jc w:val="both"/>
        <w:rPr>
          <w:rFonts w:ascii="Rockwell" w:hAnsi="Rockwell"/>
          <w:b/>
          <w:bCs/>
        </w:rPr>
      </w:pPr>
      <w:r w:rsidRPr="00DA15A1">
        <w:rPr>
          <w:rFonts w:ascii="Rockwell" w:hAnsi="Rockwell"/>
          <w:b/>
          <w:bCs/>
        </w:rPr>
        <w:t>P</w:t>
      </w:r>
      <w:r w:rsidR="00C4367F" w:rsidRPr="00DA15A1">
        <w:rPr>
          <w:rFonts w:ascii="Rockwell" w:hAnsi="Rockwell"/>
          <w:b/>
          <w:bCs/>
        </w:rPr>
        <w:t>r</w:t>
      </w:r>
      <w:r w:rsidRPr="00DA15A1">
        <w:rPr>
          <w:rFonts w:ascii="Rockwell" w:hAnsi="Rockwell"/>
          <w:b/>
          <w:bCs/>
        </w:rPr>
        <w:t>incipales pr</w:t>
      </w:r>
      <w:r w:rsidR="00C4367F" w:rsidRPr="00DA15A1">
        <w:rPr>
          <w:rFonts w:ascii="Rockwell" w:hAnsi="Rockwell"/>
          <w:b/>
          <w:bCs/>
        </w:rPr>
        <w:t>oblemas a los que se enfrentan</w:t>
      </w:r>
    </w:p>
    <w:p w14:paraId="57129F3B" w14:textId="2DEFB13A" w:rsidR="00C4367F" w:rsidRPr="00F21E8E" w:rsidRDefault="00C4367F" w:rsidP="00B973CC">
      <w:pPr>
        <w:pStyle w:val="Prrafodelista"/>
        <w:numPr>
          <w:ilvl w:val="0"/>
          <w:numId w:val="3"/>
        </w:numPr>
        <w:spacing w:before="120" w:after="0" w:line="240" w:lineRule="auto"/>
        <w:ind w:left="884" w:hanging="357"/>
        <w:contextualSpacing w:val="0"/>
        <w:jc w:val="both"/>
        <w:rPr>
          <w:rFonts w:ascii="Rockwell" w:hAnsi="Rockwell"/>
          <w:i/>
          <w:iCs/>
        </w:rPr>
      </w:pPr>
      <w:r w:rsidRPr="00F21E8E">
        <w:rPr>
          <w:rFonts w:ascii="Rockwell" w:hAnsi="Rockwell"/>
          <w:i/>
          <w:iCs/>
        </w:rPr>
        <w:t xml:space="preserve">El trayecto que recorren los migrantes tanto los más como los menos </w:t>
      </w:r>
      <w:r w:rsidR="00361D0B" w:rsidRPr="00F21E8E">
        <w:rPr>
          <w:rFonts w:ascii="Rockwell" w:hAnsi="Rockwell"/>
          <w:i/>
          <w:iCs/>
        </w:rPr>
        <w:t>vulnerables</w:t>
      </w:r>
      <w:r w:rsidRPr="00F21E8E">
        <w:rPr>
          <w:rFonts w:ascii="Rockwell" w:hAnsi="Rockwell"/>
          <w:i/>
          <w:iCs/>
        </w:rPr>
        <w:t xml:space="preserve"> suele hacerse por rutas migratorias no oficiales.</w:t>
      </w:r>
    </w:p>
    <w:p w14:paraId="00737F5E" w14:textId="77777777" w:rsidR="00C4367F" w:rsidRPr="00F21E8E" w:rsidRDefault="00C4367F" w:rsidP="00B973CC">
      <w:pPr>
        <w:pStyle w:val="Prrafodelista"/>
        <w:numPr>
          <w:ilvl w:val="0"/>
          <w:numId w:val="3"/>
        </w:numPr>
        <w:spacing w:before="120" w:after="0" w:line="240" w:lineRule="auto"/>
        <w:ind w:left="884" w:hanging="357"/>
        <w:contextualSpacing w:val="0"/>
        <w:jc w:val="both"/>
        <w:rPr>
          <w:rFonts w:ascii="Rockwell" w:hAnsi="Rockwell"/>
          <w:i/>
          <w:iCs/>
        </w:rPr>
      </w:pPr>
      <w:r w:rsidRPr="00F21E8E">
        <w:rPr>
          <w:rFonts w:ascii="Rockwell" w:hAnsi="Rockwell"/>
          <w:i/>
          <w:iCs/>
        </w:rPr>
        <w:lastRenderedPageBreak/>
        <w:t>No existen o suelen ser escasos o de difícil acceso, los servicios de alojamiento, alimentación, sanitarios, de emergencia, lo que los expone a sufrir daños en su salud.</w:t>
      </w:r>
    </w:p>
    <w:p w14:paraId="69E9DFF6" w14:textId="3970D434" w:rsidR="00C4367F" w:rsidRPr="00F21E8E" w:rsidRDefault="00C4367F" w:rsidP="00B973CC">
      <w:pPr>
        <w:pStyle w:val="Prrafodelista"/>
        <w:numPr>
          <w:ilvl w:val="0"/>
          <w:numId w:val="3"/>
        </w:numPr>
        <w:spacing w:before="120" w:after="0" w:line="240" w:lineRule="auto"/>
        <w:ind w:left="884" w:hanging="357"/>
        <w:contextualSpacing w:val="0"/>
        <w:jc w:val="both"/>
        <w:rPr>
          <w:rFonts w:ascii="Rockwell" w:hAnsi="Rockwell"/>
          <w:i/>
          <w:iCs/>
        </w:rPr>
      </w:pPr>
      <w:r w:rsidRPr="00F21E8E">
        <w:rPr>
          <w:rFonts w:ascii="Rockwell" w:hAnsi="Rockwell"/>
          <w:i/>
          <w:iCs/>
        </w:rPr>
        <w:t>Más exposición y menos protección ante abusos y crímenes por parte de bandas internacionales.</w:t>
      </w:r>
    </w:p>
    <w:p w14:paraId="4C41BDA7" w14:textId="77777777" w:rsidR="00C4367F" w:rsidRPr="00F21E8E" w:rsidRDefault="00C4367F" w:rsidP="00B973CC">
      <w:pPr>
        <w:pStyle w:val="Prrafodelista"/>
        <w:numPr>
          <w:ilvl w:val="0"/>
          <w:numId w:val="3"/>
        </w:numPr>
        <w:spacing w:before="120" w:after="0" w:line="240" w:lineRule="auto"/>
        <w:ind w:left="884" w:hanging="357"/>
        <w:contextualSpacing w:val="0"/>
        <w:jc w:val="both"/>
        <w:rPr>
          <w:rFonts w:ascii="Rockwell" w:hAnsi="Rockwell"/>
          <w:i/>
          <w:iCs/>
        </w:rPr>
      </w:pPr>
      <w:r w:rsidRPr="00F21E8E">
        <w:rPr>
          <w:rFonts w:ascii="Rockwell" w:hAnsi="Rockwell"/>
          <w:i/>
          <w:iCs/>
        </w:rPr>
        <w:t>En ocasiones, se exponen a la detención y deportación inmediatas.</w:t>
      </w:r>
    </w:p>
    <w:p w14:paraId="11159A72" w14:textId="3AA2D437" w:rsidR="00C4367F" w:rsidRPr="00F21E8E" w:rsidRDefault="00C4367F" w:rsidP="00B973CC">
      <w:pPr>
        <w:pStyle w:val="Prrafodelista"/>
        <w:numPr>
          <w:ilvl w:val="0"/>
          <w:numId w:val="3"/>
        </w:numPr>
        <w:spacing w:before="120" w:after="0" w:line="240" w:lineRule="auto"/>
        <w:ind w:left="884" w:hanging="357"/>
        <w:contextualSpacing w:val="0"/>
        <w:jc w:val="both"/>
        <w:rPr>
          <w:rFonts w:ascii="Rockwell" w:hAnsi="Rockwell"/>
          <w:i/>
          <w:iCs/>
        </w:rPr>
      </w:pPr>
      <w:r w:rsidRPr="00F21E8E">
        <w:rPr>
          <w:rFonts w:ascii="Rockwell" w:hAnsi="Rockwell"/>
          <w:i/>
          <w:iCs/>
        </w:rPr>
        <w:t>En caso de lograr cruzar la frontera de manera irregular, tratan de ser invisibles o clandestinos para no ser detenidos y deportados lo que implica limitación a servicios básicos.</w:t>
      </w:r>
    </w:p>
    <w:p w14:paraId="04D2B4AD" w14:textId="77777777" w:rsidR="00C4367F" w:rsidRPr="00F21E8E" w:rsidRDefault="00C4367F" w:rsidP="00B973CC">
      <w:pPr>
        <w:pStyle w:val="Prrafodelista"/>
        <w:numPr>
          <w:ilvl w:val="0"/>
          <w:numId w:val="3"/>
        </w:numPr>
        <w:spacing w:before="120" w:after="0" w:line="240" w:lineRule="auto"/>
        <w:ind w:left="884" w:hanging="357"/>
        <w:contextualSpacing w:val="0"/>
        <w:jc w:val="both"/>
        <w:rPr>
          <w:rFonts w:ascii="Rockwell" w:hAnsi="Rockwell"/>
          <w:i/>
          <w:iCs/>
        </w:rPr>
      </w:pPr>
      <w:r w:rsidRPr="00F21E8E">
        <w:rPr>
          <w:rFonts w:ascii="Rockwell" w:hAnsi="Rockwell"/>
          <w:i/>
          <w:iCs/>
        </w:rPr>
        <w:t>Se desarrollan en ellos prejuicios y estigmas que se traducen en actos de xenofobia y discriminación.</w:t>
      </w:r>
    </w:p>
    <w:p w14:paraId="2269F93C" w14:textId="77777777" w:rsidR="00C4367F" w:rsidRPr="00F21E8E" w:rsidRDefault="00C4367F" w:rsidP="00B973CC">
      <w:pPr>
        <w:pStyle w:val="Prrafodelista"/>
        <w:numPr>
          <w:ilvl w:val="0"/>
          <w:numId w:val="3"/>
        </w:numPr>
        <w:spacing w:before="120" w:after="0" w:line="240" w:lineRule="auto"/>
        <w:ind w:left="884" w:hanging="357"/>
        <w:contextualSpacing w:val="0"/>
        <w:jc w:val="both"/>
        <w:rPr>
          <w:rFonts w:ascii="Rockwell" w:hAnsi="Rockwell"/>
          <w:i/>
          <w:iCs/>
        </w:rPr>
      </w:pPr>
      <w:r w:rsidRPr="00F21E8E">
        <w:rPr>
          <w:rFonts w:ascii="Rockwell" w:hAnsi="Rockwell"/>
          <w:i/>
          <w:iCs/>
        </w:rPr>
        <w:t>Secuestros, amenazas, extorsiones, prostitución, asesinatos y otros peligros.</w:t>
      </w:r>
    </w:p>
    <w:p w14:paraId="73682C98" w14:textId="7CA3F105"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Se debe enfatizar en la importancia de la intervención temprana de las instituciones nacionales e internacionales, y proponer un enfoque que responda a los problemas y necesidades de salud, educación, seguridad y cohesión social, para enfrentarlas de manera articulada, entre países de origen y destino, las consecuencias derivadas de la migración.</w:t>
      </w:r>
    </w:p>
    <w:p w14:paraId="1580454C" w14:textId="756BB160" w:rsidR="00C4367F" w:rsidRPr="00F21E8E" w:rsidRDefault="00C4367F" w:rsidP="00B973CC">
      <w:pPr>
        <w:spacing w:before="120" w:after="0" w:line="240" w:lineRule="auto"/>
        <w:ind w:firstLine="170"/>
        <w:jc w:val="both"/>
        <w:rPr>
          <w:rFonts w:ascii="Rockwell" w:hAnsi="Rockwell"/>
        </w:rPr>
      </w:pPr>
      <w:r w:rsidRPr="00F21E8E">
        <w:rPr>
          <w:rFonts w:ascii="Rockwell" w:hAnsi="Rockwell"/>
          <w:b/>
          <w:bCs/>
        </w:rPr>
        <w:t xml:space="preserve">La Organización Internacional para las Migraciones </w:t>
      </w:r>
      <w:r w:rsidR="008111C1" w:rsidRPr="00F21E8E">
        <w:rPr>
          <w:rFonts w:ascii="Rockwell" w:hAnsi="Rockwell"/>
          <w:b/>
          <w:bCs/>
        </w:rPr>
        <w:t>(OIM)</w:t>
      </w:r>
      <w:r w:rsidR="008111C1" w:rsidRPr="00F21E8E">
        <w:rPr>
          <w:rFonts w:ascii="Rockwell" w:hAnsi="Rockwell"/>
        </w:rPr>
        <w:t xml:space="preserve"> fue</w:t>
      </w:r>
      <w:r w:rsidRPr="00F21E8E">
        <w:rPr>
          <w:rFonts w:ascii="Rockwell" w:hAnsi="Rockwell"/>
        </w:rPr>
        <w:t xml:space="preserve"> fundada en 1951 </w:t>
      </w:r>
      <w:r w:rsidR="008111C1" w:rsidRPr="00F21E8E">
        <w:rPr>
          <w:rFonts w:ascii="Rockwell" w:hAnsi="Rockwell"/>
        </w:rPr>
        <w:t>para abordar</w:t>
      </w:r>
      <w:r w:rsidRPr="00F21E8E">
        <w:rPr>
          <w:rFonts w:ascii="Rockwell" w:hAnsi="Rockwell"/>
        </w:rPr>
        <w:t xml:space="preserve"> las migraciones. Con sede en Ginebra, cuenta con </w:t>
      </w:r>
      <w:r w:rsidR="008111C1" w:rsidRPr="00F21E8E">
        <w:rPr>
          <w:rFonts w:ascii="Rockwell" w:hAnsi="Rockwell"/>
        </w:rPr>
        <w:t xml:space="preserve">440 </w:t>
      </w:r>
      <w:r w:rsidRPr="00F21E8E">
        <w:rPr>
          <w:rFonts w:ascii="Rockwell" w:hAnsi="Rockwell"/>
        </w:rPr>
        <w:t xml:space="preserve">oficinas locales en más de </w:t>
      </w:r>
      <w:r w:rsidR="008111C1" w:rsidRPr="00F21E8E">
        <w:rPr>
          <w:rFonts w:ascii="Rockwell" w:hAnsi="Rockwell"/>
        </w:rPr>
        <w:t xml:space="preserve">un centenar de </w:t>
      </w:r>
      <w:r w:rsidRPr="00F21E8E">
        <w:rPr>
          <w:rFonts w:ascii="Rockwell" w:hAnsi="Rockwell"/>
        </w:rPr>
        <w:t xml:space="preserve">países. </w:t>
      </w:r>
    </w:p>
    <w:p w14:paraId="189F061C" w14:textId="304A6BDA" w:rsidR="00C4367F" w:rsidRPr="00F21E8E" w:rsidRDefault="00C4367F" w:rsidP="00B973CC">
      <w:pPr>
        <w:spacing w:before="120" w:after="0" w:line="240" w:lineRule="auto"/>
        <w:ind w:firstLine="170"/>
        <w:jc w:val="both"/>
        <w:rPr>
          <w:rFonts w:ascii="Rockwell" w:hAnsi="Rockwell"/>
          <w:b/>
          <w:bCs/>
        </w:rPr>
      </w:pPr>
      <w:r w:rsidRPr="00F21E8E">
        <w:rPr>
          <w:rFonts w:ascii="Rockwell" w:hAnsi="Rockwell"/>
          <w:b/>
          <w:bCs/>
        </w:rPr>
        <w:t>Alto Comisionado de las Naciones Unidas para los Refugiados</w:t>
      </w:r>
      <w:r w:rsidR="009C4415" w:rsidRPr="00F21E8E">
        <w:rPr>
          <w:rFonts w:ascii="Rockwell" w:hAnsi="Rockwell"/>
          <w:b/>
          <w:bCs/>
        </w:rPr>
        <w:t xml:space="preserve"> (ACNUR)</w:t>
      </w:r>
    </w:p>
    <w:p w14:paraId="2D0E653F" w14:textId="32186935" w:rsidR="00C4367F" w:rsidRPr="00F21E8E" w:rsidRDefault="00FD5DE0" w:rsidP="00B973CC">
      <w:pPr>
        <w:spacing w:before="120" w:after="0" w:line="240" w:lineRule="auto"/>
        <w:ind w:firstLine="170"/>
        <w:jc w:val="both"/>
        <w:rPr>
          <w:rFonts w:ascii="Rockwell" w:hAnsi="Rockwell"/>
        </w:rPr>
      </w:pPr>
      <w:r w:rsidRPr="00FD5DE0">
        <w:rPr>
          <w:rFonts w:ascii="Rockwell" w:hAnsi="Rockwell"/>
          <w:noProof/>
        </w:rPr>
        <w:drawing>
          <wp:anchor distT="0" distB="0" distL="114300" distR="114300" simplePos="0" relativeHeight="251666432" behindDoc="0" locked="0" layoutInCell="1" allowOverlap="1" wp14:anchorId="4803262D" wp14:editId="0DA19D32">
            <wp:simplePos x="0" y="0"/>
            <wp:positionH relativeFrom="margin">
              <wp:posOffset>28575</wp:posOffset>
            </wp:positionH>
            <wp:positionV relativeFrom="paragraph">
              <wp:posOffset>688975</wp:posOffset>
            </wp:positionV>
            <wp:extent cx="3171825" cy="2860040"/>
            <wp:effectExtent l="0" t="0" r="9525" b="0"/>
            <wp:wrapSquare wrapText="bothSides"/>
            <wp:docPr id="678963231" name="Imagen 5" descr="ACNUR Perú (@ACNURPeru)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NUR Perú (@ACNURPeru) / 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1825" cy="286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61D0B" w:rsidRPr="00F21E8E">
        <w:rPr>
          <w:rFonts w:ascii="Rockwell" w:hAnsi="Rockwell"/>
        </w:rPr>
        <w:t>E</w:t>
      </w:r>
      <w:r w:rsidR="00C4367F" w:rsidRPr="00F21E8E">
        <w:rPr>
          <w:rFonts w:ascii="Rockwell" w:hAnsi="Rockwell"/>
        </w:rPr>
        <w:t>s el organismo de las Naciones Unidas encargado de proteger a los refugiados y desplazados por persecuciones o conflictos, y promover soluciones duraderas a su situación, mediante el reasentamiento voluntario en su país de origen o en el de acogida. Tiene su sede en Ginebra, Suiza, y más de 250 oficinas repartidas por todo el mundo.</w:t>
      </w:r>
    </w:p>
    <w:p w14:paraId="6BAA9842" w14:textId="423A8494" w:rsidR="00C4367F" w:rsidRPr="00F21E8E" w:rsidRDefault="00C4367F" w:rsidP="00B973CC">
      <w:pPr>
        <w:spacing w:before="120" w:after="0" w:line="240" w:lineRule="auto"/>
        <w:ind w:firstLine="170"/>
        <w:jc w:val="both"/>
        <w:rPr>
          <w:rFonts w:ascii="Rockwell" w:hAnsi="Rockwell"/>
        </w:rPr>
      </w:pPr>
      <w:r w:rsidRPr="00F21E8E">
        <w:rPr>
          <w:rFonts w:ascii="Rockwell" w:hAnsi="Rockwell"/>
          <w:b/>
          <w:bCs/>
        </w:rPr>
        <w:t>El Foro Mundial sobre Migración y Desarrollo</w:t>
      </w:r>
      <w:r w:rsidRPr="00F21E8E">
        <w:rPr>
          <w:rFonts w:ascii="Rockwell" w:hAnsi="Rockwell"/>
        </w:rPr>
        <w:t xml:space="preserve"> es una iniciativa de los Estados para discutir los aspectos multidimensionales de la migración y el desarrollo. El Foro surgió en el marco del </w:t>
      </w:r>
      <w:r w:rsidR="008111C1" w:rsidRPr="00F21E8E">
        <w:rPr>
          <w:rFonts w:ascii="Rockwell" w:hAnsi="Rockwell"/>
        </w:rPr>
        <w:t>diálogo de alto nivel sobre migración internacional y de</w:t>
      </w:r>
      <w:r w:rsidRPr="00F21E8E">
        <w:rPr>
          <w:rFonts w:ascii="Rockwell" w:hAnsi="Rockwell"/>
        </w:rPr>
        <w:t>sarrollo</w:t>
      </w:r>
      <w:r w:rsidRPr="00F21E8E">
        <w:rPr>
          <w:rFonts w:ascii="Times New Roman" w:hAnsi="Times New Roman" w:cs="Times New Roman"/>
        </w:rPr>
        <w:t>​</w:t>
      </w:r>
      <w:r w:rsidRPr="00F21E8E">
        <w:rPr>
          <w:rFonts w:ascii="Rockwell" w:hAnsi="Rockwell"/>
        </w:rPr>
        <w:t xml:space="preserve"> celebrado en el seno de la Asamblea General de </w:t>
      </w:r>
      <w:r w:rsidR="008111C1" w:rsidRPr="00F21E8E">
        <w:rPr>
          <w:rFonts w:ascii="Rockwell" w:hAnsi="Rockwell"/>
        </w:rPr>
        <w:t>la ONU</w:t>
      </w:r>
      <w:r w:rsidRPr="00F21E8E">
        <w:rPr>
          <w:rFonts w:ascii="Rockwell" w:hAnsi="Rockwell"/>
        </w:rPr>
        <w:t xml:space="preserve"> en 2006. </w:t>
      </w:r>
      <w:r w:rsidR="009C4415" w:rsidRPr="00F21E8E">
        <w:rPr>
          <w:rFonts w:ascii="Rockwell" w:hAnsi="Rockwell"/>
        </w:rPr>
        <w:t xml:space="preserve"> </w:t>
      </w:r>
      <w:r w:rsidR="008111C1" w:rsidRPr="00F21E8E">
        <w:rPr>
          <w:rFonts w:ascii="Rockwell" w:hAnsi="Rockwell"/>
        </w:rPr>
        <w:t>H</w:t>
      </w:r>
      <w:r w:rsidRPr="00F21E8E">
        <w:rPr>
          <w:rFonts w:ascii="Rockwell" w:hAnsi="Rockwell"/>
        </w:rPr>
        <w:t>a tenido cinco reuniones: Bruselas 2007, Manila 2008, Atenas 2009, Puerto Vallarta 2010, Ginebra 2011, Port Louis, Mauricio</w:t>
      </w:r>
      <w:r w:rsidR="008111C1" w:rsidRPr="00F21E8E">
        <w:rPr>
          <w:rFonts w:ascii="Rockwell" w:hAnsi="Rockwell"/>
        </w:rPr>
        <w:t>,</w:t>
      </w:r>
      <w:r w:rsidRPr="00F21E8E">
        <w:rPr>
          <w:rFonts w:ascii="Rockwell" w:hAnsi="Rockwell"/>
        </w:rPr>
        <w:t xml:space="preserve"> 2012. La séptima reunión tuvo lugar en Estocolmo,</w:t>
      </w:r>
      <w:r w:rsidR="009C4415" w:rsidRPr="00F21E8E">
        <w:rPr>
          <w:rFonts w:ascii="Rockwell" w:hAnsi="Rockwell"/>
        </w:rPr>
        <w:t xml:space="preserve"> </w:t>
      </w:r>
      <w:r w:rsidRPr="00F21E8E">
        <w:rPr>
          <w:rFonts w:ascii="Rockwell" w:hAnsi="Rockwell"/>
        </w:rPr>
        <w:t>mayo de 2014.</w:t>
      </w:r>
    </w:p>
    <w:p w14:paraId="59DA829E" w14:textId="3156748B" w:rsidR="00C4367F" w:rsidRPr="00F21E8E" w:rsidRDefault="00C4367F" w:rsidP="00B973CC">
      <w:pPr>
        <w:spacing w:before="120" w:after="0" w:line="240" w:lineRule="auto"/>
        <w:ind w:firstLine="170"/>
        <w:jc w:val="both"/>
        <w:rPr>
          <w:rFonts w:ascii="Rockwell" w:hAnsi="Rockwell"/>
        </w:rPr>
      </w:pPr>
      <w:r w:rsidRPr="00F21E8E">
        <w:rPr>
          <w:rFonts w:ascii="Rockwell" w:hAnsi="Rockwell"/>
        </w:rPr>
        <w:t>En cuanto a los principios aplicables a niñas</w:t>
      </w:r>
      <w:r w:rsidR="008111C1" w:rsidRPr="00F21E8E">
        <w:rPr>
          <w:rFonts w:ascii="Rockwell" w:hAnsi="Rockwell"/>
        </w:rPr>
        <w:t>, niños</w:t>
      </w:r>
      <w:r w:rsidRPr="00F21E8E">
        <w:rPr>
          <w:rFonts w:ascii="Rockwell" w:hAnsi="Rockwell"/>
        </w:rPr>
        <w:t xml:space="preserve"> y adolescentes (NNA) de la Convención sobre el Estatuto de los Refugiados de 1951 y su Protocolo de 1967, se ha señalado que no hay diferencias entre los niños y los adultos en lo referente al bienestar social y al goce de derechos.</w:t>
      </w:r>
      <w:r w:rsidRPr="00F21E8E">
        <w:rPr>
          <w:rFonts w:ascii="Times New Roman" w:hAnsi="Times New Roman" w:cs="Times New Roman"/>
        </w:rPr>
        <w:t>​</w:t>
      </w:r>
      <w:r w:rsidRPr="00F21E8E">
        <w:rPr>
          <w:rFonts w:ascii="Rockwell" w:hAnsi="Rockwell"/>
        </w:rPr>
        <w:t xml:space="preserve"> Los NNA que buscan asilo, refugiados, desplazados internos, retornados y apátridas merecen especial protección por parte de los Estados.</w:t>
      </w:r>
    </w:p>
    <w:p w14:paraId="42E8D090" w14:textId="06855CCE" w:rsidR="00C4367F" w:rsidRDefault="00C4367F" w:rsidP="00B973CC">
      <w:pPr>
        <w:spacing w:before="120" w:after="0" w:line="240" w:lineRule="auto"/>
        <w:ind w:firstLine="170"/>
        <w:jc w:val="both"/>
        <w:rPr>
          <w:rFonts w:ascii="Rockwell" w:hAnsi="Rockwell"/>
        </w:rPr>
      </w:pPr>
      <w:r w:rsidRPr="00F21E8E">
        <w:rPr>
          <w:rFonts w:ascii="Rockwell" w:hAnsi="Rockwell"/>
        </w:rPr>
        <w:t xml:space="preserve">El </w:t>
      </w:r>
      <w:r w:rsidRPr="00F21E8E">
        <w:rPr>
          <w:rFonts w:ascii="Rockwell" w:hAnsi="Rockwell"/>
          <w:b/>
          <w:bCs/>
        </w:rPr>
        <w:t>ACNUR</w:t>
      </w:r>
      <w:r w:rsidRPr="00F21E8E">
        <w:rPr>
          <w:rFonts w:ascii="Rockwell" w:hAnsi="Rockwell"/>
        </w:rPr>
        <w:t xml:space="preserve"> aboga por la adecuada aplicación de la protección complementaria para NNA no acompañados o separados que no cumplan con los criterios de refugiado, pero cuya vida, libertad o integridad corra peligro si es retornado: NNA en riesgo de ser víctimas de la violencia intrafamiliar, sexual y de género, explotación, trabajo forzado, trata de personas, reclutamiento por parte de organizaciones criminales, menores de origen extracontinental</w:t>
      </w:r>
      <w:r w:rsidR="009C4415" w:rsidRPr="00F21E8E">
        <w:rPr>
          <w:rFonts w:ascii="Rockwell" w:hAnsi="Rockwell"/>
        </w:rPr>
        <w:t>,</w:t>
      </w:r>
      <w:r w:rsidRPr="00F21E8E">
        <w:rPr>
          <w:rFonts w:ascii="Rockwell" w:hAnsi="Rockwell"/>
        </w:rPr>
        <w:t xml:space="preserve"> entre otros.</w:t>
      </w:r>
    </w:p>
    <w:p w14:paraId="3EEDFA8A" w14:textId="77777777" w:rsidR="00B31F68" w:rsidRDefault="00B31F68" w:rsidP="00B973CC">
      <w:pPr>
        <w:spacing w:before="120" w:after="0" w:line="240" w:lineRule="auto"/>
        <w:ind w:firstLine="170"/>
        <w:jc w:val="both"/>
        <w:rPr>
          <w:rFonts w:ascii="Rockwell" w:hAnsi="Rockwell"/>
        </w:rPr>
      </w:pPr>
    </w:p>
    <w:p w14:paraId="2A83AF87" w14:textId="450B08C8" w:rsidR="00C4367F" w:rsidRPr="00F21E8E" w:rsidRDefault="00C4367F" w:rsidP="00B973CC">
      <w:pPr>
        <w:spacing w:before="120" w:after="0" w:line="240" w:lineRule="auto"/>
        <w:ind w:firstLine="170"/>
        <w:jc w:val="both"/>
        <w:rPr>
          <w:rFonts w:ascii="Rockwell" w:hAnsi="Rockwell"/>
          <w:b/>
          <w:bCs/>
        </w:rPr>
      </w:pPr>
      <w:r w:rsidRPr="00F21E8E">
        <w:rPr>
          <w:rFonts w:ascii="Rockwell" w:hAnsi="Rockwell"/>
          <w:b/>
          <w:bCs/>
        </w:rPr>
        <w:t xml:space="preserve">Observación </w:t>
      </w:r>
      <w:r w:rsidR="0043334B" w:rsidRPr="00F21E8E">
        <w:rPr>
          <w:rFonts w:ascii="Rockwell" w:hAnsi="Rockwell"/>
          <w:b/>
          <w:bCs/>
        </w:rPr>
        <w:t>g</w:t>
      </w:r>
      <w:r w:rsidRPr="00F21E8E">
        <w:rPr>
          <w:rFonts w:ascii="Rockwell" w:hAnsi="Rockwell"/>
          <w:b/>
          <w:bCs/>
        </w:rPr>
        <w:t>eneral 6 de la Convención de Derechos del Niño (1989)</w:t>
      </w:r>
    </w:p>
    <w:p w14:paraId="18F18D5C" w14:textId="7D62AC22" w:rsidR="00C4367F" w:rsidRPr="00F21E8E" w:rsidRDefault="008111C1" w:rsidP="00B973CC">
      <w:pPr>
        <w:spacing w:before="120" w:after="0" w:line="240" w:lineRule="auto"/>
        <w:ind w:firstLine="170"/>
        <w:jc w:val="both"/>
        <w:rPr>
          <w:rFonts w:ascii="Rockwell" w:hAnsi="Rockwell"/>
        </w:rPr>
      </w:pPr>
      <w:r w:rsidRPr="00F21E8E">
        <w:rPr>
          <w:rFonts w:ascii="Rockwell" w:hAnsi="Rockwell"/>
        </w:rPr>
        <w:t xml:space="preserve">Para </w:t>
      </w:r>
      <w:r w:rsidR="00C4367F" w:rsidRPr="00F21E8E">
        <w:rPr>
          <w:rFonts w:ascii="Rockwell" w:hAnsi="Rockwell"/>
        </w:rPr>
        <w:t>NNA no acompañados o separados migrantes:</w:t>
      </w:r>
      <w:r w:rsidR="00277E38" w:rsidRPr="00F21E8E">
        <w:rPr>
          <w:rFonts w:ascii="Rockwell" w:hAnsi="Rockwell"/>
        </w:rPr>
        <w:t xml:space="preserve"> </w:t>
      </w:r>
      <w:r w:rsidR="00C4367F" w:rsidRPr="00F21E8E">
        <w:rPr>
          <w:rFonts w:ascii="Times New Roman" w:hAnsi="Times New Roman" w:cs="Times New Roman"/>
        </w:rPr>
        <w:t>​</w:t>
      </w:r>
    </w:p>
    <w:p w14:paraId="02C2CA07" w14:textId="77777777"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Principio de no discriminación</w:t>
      </w:r>
    </w:p>
    <w:p w14:paraId="05CD2B3D" w14:textId="77777777"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Necesidad de adoptar medidas diferenciadas</w:t>
      </w:r>
    </w:p>
    <w:p w14:paraId="2B007B96" w14:textId="2B35A166"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 xml:space="preserve">Interés </w:t>
      </w:r>
      <w:r w:rsidR="009C4415" w:rsidRPr="00F21E8E">
        <w:rPr>
          <w:rFonts w:ascii="Rockwell" w:hAnsi="Rockwell"/>
          <w:i/>
          <w:iCs/>
        </w:rPr>
        <w:t>s</w:t>
      </w:r>
      <w:r w:rsidRPr="00F21E8E">
        <w:rPr>
          <w:rFonts w:ascii="Rockwell" w:hAnsi="Rockwell"/>
          <w:i/>
          <w:iCs/>
        </w:rPr>
        <w:t>uperior del Niño</w:t>
      </w:r>
    </w:p>
    <w:p w14:paraId="4C91EB58" w14:textId="77777777"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Derecho del NNA a expresar su opinión libremente</w:t>
      </w:r>
    </w:p>
    <w:p w14:paraId="14FE72F7" w14:textId="77777777"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Principio (obligaciones) de no devolución</w:t>
      </w:r>
    </w:p>
    <w:p w14:paraId="008D1D64" w14:textId="7480A84F"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 xml:space="preserve">Opinión </w:t>
      </w:r>
      <w:r w:rsidR="009C4415" w:rsidRPr="00F21E8E">
        <w:rPr>
          <w:rFonts w:ascii="Rockwell" w:hAnsi="Rockwell"/>
          <w:i/>
          <w:iCs/>
        </w:rPr>
        <w:t>c</w:t>
      </w:r>
      <w:r w:rsidRPr="00F21E8E">
        <w:rPr>
          <w:rFonts w:ascii="Rockwell" w:hAnsi="Rockwell"/>
          <w:i/>
          <w:iCs/>
        </w:rPr>
        <w:t xml:space="preserve">onsultiva de la Corte IDH </w:t>
      </w:r>
    </w:p>
    <w:p w14:paraId="40AD2686" w14:textId="33018333"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Sobre los NNA en contexto migración independiente de con quién vayan</w:t>
      </w:r>
    </w:p>
    <w:p w14:paraId="4D5B5AC2" w14:textId="77777777"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Identificación de necesidades de protección internacional</w:t>
      </w:r>
    </w:p>
    <w:p w14:paraId="44B5A25D" w14:textId="77777777"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Garantías del debido proceso</w:t>
      </w:r>
    </w:p>
    <w:p w14:paraId="0722941E" w14:textId="77777777"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No privación de libertad</w:t>
      </w:r>
    </w:p>
    <w:p w14:paraId="5498FD91" w14:textId="77777777"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Protección integral</w:t>
      </w:r>
    </w:p>
    <w:p w14:paraId="0C448623" w14:textId="77777777"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Espacios de alojamiento diferenciados</w:t>
      </w:r>
    </w:p>
    <w:p w14:paraId="3BDA93C1" w14:textId="3972A624" w:rsidR="00C4367F" w:rsidRPr="00F21E8E" w:rsidRDefault="00C4367F" w:rsidP="00B973CC">
      <w:pPr>
        <w:pStyle w:val="Prrafodelista"/>
        <w:numPr>
          <w:ilvl w:val="0"/>
          <w:numId w:val="1"/>
        </w:numPr>
        <w:spacing w:before="120" w:after="0" w:line="240" w:lineRule="auto"/>
        <w:ind w:left="709" w:hanging="284"/>
        <w:contextualSpacing w:val="0"/>
        <w:jc w:val="both"/>
        <w:rPr>
          <w:rFonts w:ascii="Rockwell" w:hAnsi="Rockwell"/>
          <w:i/>
          <w:iCs/>
        </w:rPr>
      </w:pPr>
      <w:r w:rsidRPr="00F21E8E">
        <w:rPr>
          <w:rFonts w:ascii="Rockwell" w:hAnsi="Rockwell"/>
          <w:i/>
          <w:iCs/>
        </w:rPr>
        <w:t xml:space="preserve">Derecho a la vida familiar </w:t>
      </w:r>
    </w:p>
    <w:p w14:paraId="3FC9DC9C" w14:textId="77777777" w:rsidR="00B61C16" w:rsidRPr="00F21E8E" w:rsidRDefault="00B61C16" w:rsidP="00B973CC">
      <w:pPr>
        <w:pStyle w:val="Prrafodelista"/>
        <w:spacing w:before="120" w:after="0" w:line="240" w:lineRule="auto"/>
        <w:ind w:left="709"/>
        <w:contextualSpacing w:val="0"/>
        <w:jc w:val="both"/>
        <w:rPr>
          <w:rFonts w:ascii="Rockwell" w:hAnsi="Rockwell"/>
          <w:i/>
          <w:iCs/>
        </w:rPr>
      </w:pPr>
    </w:p>
    <w:p w14:paraId="4E06B9B2" w14:textId="730EC3F8" w:rsidR="009C4415" w:rsidRPr="00F21E8E" w:rsidRDefault="00C4367F" w:rsidP="00B973CC">
      <w:pPr>
        <w:spacing w:before="120" w:after="0" w:line="240" w:lineRule="auto"/>
        <w:ind w:firstLine="170"/>
        <w:jc w:val="both"/>
        <w:rPr>
          <w:rFonts w:ascii="Rockwell" w:hAnsi="Rockwell"/>
          <w:b/>
          <w:bCs/>
        </w:rPr>
      </w:pPr>
      <w:r w:rsidRPr="00F21E8E">
        <w:rPr>
          <w:rFonts w:ascii="Rockwell" w:hAnsi="Rockwell"/>
          <w:b/>
          <w:bCs/>
        </w:rPr>
        <w:t xml:space="preserve">Directrices y políticas de ACNUR de protección especial </w:t>
      </w:r>
    </w:p>
    <w:p w14:paraId="34A6D67F" w14:textId="3E3D3AD4" w:rsidR="00C4367F" w:rsidRPr="00F21E8E" w:rsidRDefault="00C4367F" w:rsidP="00B973CC">
      <w:pPr>
        <w:pStyle w:val="Prrafodelista"/>
        <w:numPr>
          <w:ilvl w:val="0"/>
          <w:numId w:val="7"/>
        </w:numPr>
        <w:spacing w:before="120" w:after="0" w:line="240" w:lineRule="auto"/>
        <w:ind w:left="884" w:hanging="357"/>
        <w:contextualSpacing w:val="0"/>
        <w:jc w:val="both"/>
        <w:rPr>
          <w:rFonts w:ascii="Rockwell" w:hAnsi="Rockwell"/>
          <w:i/>
          <w:iCs/>
        </w:rPr>
      </w:pPr>
      <w:r w:rsidRPr="00F21E8E">
        <w:rPr>
          <w:rFonts w:ascii="Rockwell" w:hAnsi="Rockwell"/>
          <w:i/>
          <w:iCs/>
        </w:rPr>
        <w:t>Directrices de protección internacional: solicitudes de asilo de niños, de conformidad con los artículos 1(A)2 y 1(F) de la Convención de 1951 y/o del Protocolo de 1967 sobre el Estatuto de los Refugiados, 2009.37</w:t>
      </w:r>
      <w:r w:rsidRPr="00F21E8E">
        <w:rPr>
          <w:rFonts w:ascii="Times New Roman" w:hAnsi="Times New Roman" w:cs="Times New Roman"/>
          <w:i/>
          <w:iCs/>
        </w:rPr>
        <w:t>​</w:t>
      </w:r>
    </w:p>
    <w:p w14:paraId="7F7FA2E5" w14:textId="5BE1B518" w:rsidR="00C4367F" w:rsidRPr="00F21E8E" w:rsidRDefault="00C4367F" w:rsidP="00B973CC">
      <w:pPr>
        <w:pStyle w:val="Prrafodelista"/>
        <w:numPr>
          <w:ilvl w:val="0"/>
          <w:numId w:val="4"/>
        </w:numPr>
        <w:spacing w:before="120" w:after="0" w:line="240" w:lineRule="auto"/>
        <w:ind w:left="884" w:hanging="357"/>
        <w:contextualSpacing w:val="0"/>
        <w:jc w:val="both"/>
        <w:rPr>
          <w:rFonts w:ascii="Rockwell" w:hAnsi="Rockwell"/>
          <w:i/>
          <w:iCs/>
        </w:rPr>
      </w:pPr>
      <w:r w:rsidRPr="00F21E8E">
        <w:rPr>
          <w:rFonts w:ascii="Rockwell" w:hAnsi="Rockwell"/>
          <w:i/>
          <w:iCs/>
        </w:rPr>
        <w:t>Directrices sobre Protección Internacional: La persecución por motivos de género en el contexto del Artículo 1A</w:t>
      </w:r>
      <w:r w:rsidR="00277E38" w:rsidRPr="00F21E8E">
        <w:rPr>
          <w:rFonts w:ascii="Rockwell" w:hAnsi="Rockwell"/>
          <w:i/>
          <w:iCs/>
        </w:rPr>
        <w:t xml:space="preserve"> </w:t>
      </w:r>
      <w:r w:rsidRPr="00F21E8E">
        <w:rPr>
          <w:rFonts w:ascii="Rockwell" w:hAnsi="Rockwell"/>
          <w:i/>
          <w:iCs/>
        </w:rPr>
        <w:t>(2) de la Convención de 1951 y/o el Protocolo de 1967 sobre el Estatuto de Refugiados, 7 de mayo del 2002 (HCR/GIP/02/01).</w:t>
      </w:r>
      <w:r w:rsidR="00277E38" w:rsidRPr="00F21E8E">
        <w:rPr>
          <w:rFonts w:ascii="Rockwell" w:hAnsi="Rockwell"/>
          <w:i/>
          <w:iCs/>
        </w:rPr>
        <w:t xml:space="preserve"> </w:t>
      </w:r>
      <w:r w:rsidRPr="00F21E8E">
        <w:rPr>
          <w:rFonts w:ascii="Times New Roman" w:hAnsi="Times New Roman" w:cs="Times New Roman"/>
          <w:i/>
          <w:iCs/>
        </w:rPr>
        <w:t>​</w:t>
      </w:r>
    </w:p>
    <w:p w14:paraId="5E992672" w14:textId="22003AAB" w:rsidR="00C4367F" w:rsidRPr="00F21E8E" w:rsidRDefault="00C4367F" w:rsidP="00B973CC">
      <w:pPr>
        <w:pStyle w:val="Prrafodelista"/>
        <w:numPr>
          <w:ilvl w:val="0"/>
          <w:numId w:val="4"/>
        </w:numPr>
        <w:spacing w:before="120" w:after="0" w:line="240" w:lineRule="auto"/>
        <w:ind w:left="884" w:hanging="357"/>
        <w:contextualSpacing w:val="0"/>
        <w:jc w:val="both"/>
        <w:rPr>
          <w:rFonts w:ascii="Rockwell" w:hAnsi="Rockwell"/>
          <w:i/>
          <w:iCs/>
        </w:rPr>
      </w:pPr>
      <w:r w:rsidRPr="00F21E8E">
        <w:rPr>
          <w:rFonts w:ascii="Rockwell" w:hAnsi="Rockwell"/>
          <w:i/>
          <w:iCs/>
        </w:rPr>
        <w:t xml:space="preserve">Directrices sobre protección internacional </w:t>
      </w:r>
      <w:r w:rsidR="00B31F68" w:rsidRPr="00F21E8E">
        <w:rPr>
          <w:rFonts w:ascii="Rockwell" w:hAnsi="Rockwell"/>
          <w:i/>
          <w:iCs/>
        </w:rPr>
        <w:t>Nº</w:t>
      </w:r>
      <w:r w:rsidRPr="00F21E8E">
        <w:rPr>
          <w:rFonts w:ascii="Rockwell" w:hAnsi="Rockwell"/>
          <w:i/>
          <w:iCs/>
        </w:rPr>
        <w:t xml:space="preserve"> 9; Solicitudes de la condición de refugiado relacionadas con la orientación sexual y/o la identidad de género, en el contexto del artículo 1</w:t>
      </w:r>
      <w:r w:rsidR="00277E38" w:rsidRPr="00F21E8E">
        <w:rPr>
          <w:rFonts w:ascii="Rockwell" w:hAnsi="Rockwell"/>
          <w:i/>
          <w:iCs/>
        </w:rPr>
        <w:t xml:space="preserve">A </w:t>
      </w:r>
      <w:r w:rsidRPr="00F21E8E">
        <w:rPr>
          <w:rFonts w:ascii="Rockwell" w:hAnsi="Rockwell"/>
          <w:i/>
          <w:iCs/>
        </w:rPr>
        <w:t>(2) de la Convención sobre el Estatuto de los Refugiados de 1951.</w:t>
      </w:r>
      <w:r w:rsidR="00277E38" w:rsidRPr="00F21E8E">
        <w:rPr>
          <w:rFonts w:ascii="Rockwell" w:hAnsi="Rockwell"/>
          <w:i/>
          <w:iCs/>
        </w:rPr>
        <w:t xml:space="preserve"> </w:t>
      </w:r>
      <w:r w:rsidRPr="00F21E8E">
        <w:rPr>
          <w:rFonts w:ascii="Times New Roman" w:hAnsi="Times New Roman" w:cs="Times New Roman"/>
          <w:i/>
          <w:iCs/>
        </w:rPr>
        <w:t>​</w:t>
      </w:r>
    </w:p>
    <w:p w14:paraId="3464DBFA" w14:textId="681C4E69" w:rsidR="00C4367F" w:rsidRPr="00F21E8E" w:rsidRDefault="00C4367F" w:rsidP="00B973CC">
      <w:pPr>
        <w:pStyle w:val="Prrafodelista"/>
        <w:numPr>
          <w:ilvl w:val="0"/>
          <w:numId w:val="4"/>
        </w:numPr>
        <w:spacing w:before="120" w:after="0" w:line="240" w:lineRule="auto"/>
        <w:ind w:left="884" w:hanging="357"/>
        <w:contextualSpacing w:val="0"/>
        <w:jc w:val="both"/>
        <w:rPr>
          <w:rFonts w:ascii="Rockwell" w:hAnsi="Rockwell"/>
          <w:i/>
          <w:iCs/>
        </w:rPr>
      </w:pPr>
      <w:r w:rsidRPr="00F21E8E">
        <w:rPr>
          <w:rFonts w:ascii="Rockwell" w:hAnsi="Rockwell"/>
          <w:i/>
          <w:iCs/>
        </w:rPr>
        <w:t>Directriz para la prevención y atención integral de la población indígena en situación de desplazamiento y riesgo, con enfoque diferencial.</w:t>
      </w:r>
      <w:r w:rsidR="00277E38" w:rsidRPr="00F21E8E">
        <w:rPr>
          <w:rFonts w:ascii="Rockwell" w:hAnsi="Rockwell"/>
          <w:i/>
          <w:iCs/>
        </w:rPr>
        <w:t xml:space="preserve"> </w:t>
      </w:r>
      <w:r w:rsidRPr="00F21E8E">
        <w:rPr>
          <w:rFonts w:ascii="Times New Roman" w:hAnsi="Times New Roman" w:cs="Times New Roman"/>
          <w:i/>
          <w:iCs/>
        </w:rPr>
        <w:t>​</w:t>
      </w:r>
    </w:p>
    <w:p w14:paraId="1C57C344" w14:textId="06BD91CF" w:rsidR="00C4367F" w:rsidRPr="00B31F68" w:rsidRDefault="00C4367F" w:rsidP="00B973CC">
      <w:pPr>
        <w:pStyle w:val="Prrafodelista"/>
        <w:numPr>
          <w:ilvl w:val="0"/>
          <w:numId w:val="4"/>
        </w:numPr>
        <w:spacing w:before="120" w:after="0" w:line="240" w:lineRule="auto"/>
        <w:ind w:left="884" w:hanging="357"/>
        <w:contextualSpacing w:val="0"/>
        <w:jc w:val="both"/>
        <w:rPr>
          <w:rFonts w:ascii="Rockwell" w:hAnsi="Rockwell"/>
        </w:rPr>
      </w:pPr>
      <w:r w:rsidRPr="00F21E8E">
        <w:rPr>
          <w:rFonts w:ascii="Rockwell" w:hAnsi="Rockwell"/>
          <w:i/>
          <w:iCs/>
        </w:rPr>
        <w:t>Nota de orientación sobre las solicitudes de la condición de refugiado relacionadas con las víctimas de pandillas organizadas, 2010.</w:t>
      </w:r>
      <w:r w:rsidR="00277E38" w:rsidRPr="00F21E8E">
        <w:rPr>
          <w:rFonts w:ascii="Rockwell" w:hAnsi="Rockwell"/>
        </w:rPr>
        <w:t xml:space="preserve"> </w:t>
      </w:r>
      <w:r w:rsidRPr="00F21E8E">
        <w:rPr>
          <w:rFonts w:ascii="Times New Roman" w:hAnsi="Times New Roman" w:cs="Times New Roman"/>
        </w:rPr>
        <w:t>​</w:t>
      </w:r>
    </w:p>
    <w:p w14:paraId="64CC284F" w14:textId="77777777" w:rsidR="00B31F68" w:rsidRPr="00F21E8E" w:rsidRDefault="00B31F68" w:rsidP="00B31F68">
      <w:pPr>
        <w:pStyle w:val="Prrafodelista"/>
        <w:spacing w:before="120" w:after="0" w:line="240" w:lineRule="auto"/>
        <w:ind w:left="884"/>
        <w:contextualSpacing w:val="0"/>
        <w:jc w:val="both"/>
        <w:rPr>
          <w:rFonts w:ascii="Rockwell" w:hAnsi="Rockwell"/>
        </w:rPr>
      </w:pPr>
    </w:p>
    <w:p w14:paraId="6DEAB914" w14:textId="77777777" w:rsidR="00C4367F" w:rsidRPr="00F21E8E" w:rsidRDefault="00C4367F" w:rsidP="00B973CC">
      <w:pPr>
        <w:spacing w:before="120" w:after="0" w:line="240" w:lineRule="auto"/>
        <w:ind w:firstLine="170"/>
        <w:jc w:val="both"/>
        <w:rPr>
          <w:rFonts w:ascii="Rockwell" w:hAnsi="Rockwell"/>
          <w:b/>
          <w:bCs/>
        </w:rPr>
      </w:pPr>
      <w:r w:rsidRPr="00F21E8E">
        <w:rPr>
          <w:rFonts w:ascii="Rockwell" w:hAnsi="Rockwell"/>
          <w:b/>
          <w:bCs/>
        </w:rPr>
        <w:t>Sistemas globales de protección</w:t>
      </w:r>
    </w:p>
    <w:p w14:paraId="7CA444D9" w14:textId="70984DA7" w:rsidR="00EE1129" w:rsidRDefault="00C4367F" w:rsidP="00B973CC">
      <w:pPr>
        <w:spacing w:before="120" w:after="0" w:line="240" w:lineRule="auto"/>
        <w:ind w:firstLine="170"/>
        <w:jc w:val="both"/>
        <w:rPr>
          <w:rFonts w:ascii="Rockwell" w:hAnsi="Rockwell"/>
        </w:rPr>
      </w:pPr>
      <w:r w:rsidRPr="00F21E8E">
        <w:rPr>
          <w:rFonts w:ascii="Rockwell" w:hAnsi="Rockwell"/>
        </w:rPr>
        <w:t xml:space="preserve">Un sistema global de protección del menor comprende políticas, procedimientos y prácticas dirigidas a prevenir y actuar de manera efectiva ante el abuso, el trato negligente, la explotación y el trato violento al menor, y el promover la implementación de estos sistemas, se encuentra bajo la responsabilidad del Estado, y todos los menores que se encuentren bajo su jurisdicción deben tener un acceso no discriminado a tales </w:t>
      </w:r>
      <w:r w:rsidR="0043334B" w:rsidRPr="00F21E8E">
        <w:rPr>
          <w:rFonts w:ascii="Rockwell" w:hAnsi="Rockwell"/>
        </w:rPr>
        <w:t>sistemas (</w:t>
      </w:r>
      <w:r w:rsidRPr="00F21E8E">
        <w:rPr>
          <w:rFonts w:ascii="Rockwell" w:hAnsi="Rockwell"/>
        </w:rPr>
        <w:t>ACNUR, 2015)</w:t>
      </w:r>
      <w:r w:rsidR="00CF606A" w:rsidRPr="00F21E8E">
        <w:rPr>
          <w:rFonts w:ascii="Rockwell" w:hAnsi="Rockwell"/>
        </w:rPr>
        <w:t>.</w:t>
      </w:r>
    </w:p>
    <w:p w14:paraId="0C55DF26" w14:textId="77777777" w:rsidR="00C17CF0" w:rsidRDefault="00C17CF0" w:rsidP="00B973CC">
      <w:pPr>
        <w:spacing w:before="120" w:after="0" w:line="240" w:lineRule="auto"/>
        <w:ind w:firstLine="170"/>
        <w:jc w:val="both"/>
        <w:rPr>
          <w:rFonts w:ascii="Rockwell" w:hAnsi="Rockwell"/>
        </w:rPr>
      </w:pPr>
    </w:p>
    <w:p w14:paraId="20B11C65" w14:textId="77777777" w:rsidR="00C17CF0" w:rsidRPr="00F21E8E" w:rsidRDefault="00C17CF0" w:rsidP="00B973CC">
      <w:pPr>
        <w:spacing w:before="120" w:after="0" w:line="240" w:lineRule="auto"/>
        <w:ind w:firstLine="170"/>
        <w:jc w:val="both"/>
        <w:rPr>
          <w:rFonts w:ascii="Rockwell" w:hAnsi="Rockwell"/>
        </w:rPr>
      </w:pPr>
    </w:p>
    <w:p w14:paraId="0161B06A" w14:textId="77777777" w:rsidR="00B61C16" w:rsidRPr="00F21E8E" w:rsidRDefault="00B61C16" w:rsidP="00B973CC">
      <w:pPr>
        <w:spacing w:before="120" w:after="0" w:line="240" w:lineRule="auto"/>
        <w:ind w:firstLine="170"/>
        <w:jc w:val="both"/>
        <w:rPr>
          <w:rFonts w:ascii="Rockwell" w:hAnsi="Rockwell"/>
          <w:b/>
          <w:bCs/>
          <w:color w:val="FF0000"/>
          <w:sz w:val="20"/>
          <w:szCs w:val="20"/>
        </w:rPr>
      </w:pPr>
    </w:p>
    <w:p w14:paraId="2B07FAE2" w14:textId="12D3B565" w:rsidR="00B22305" w:rsidRPr="00B31F68" w:rsidRDefault="00B31F68" w:rsidP="00B31F68">
      <w:pPr>
        <w:spacing w:before="120" w:after="0" w:line="240" w:lineRule="auto"/>
        <w:jc w:val="both"/>
        <w:rPr>
          <w:rFonts w:ascii="Arial" w:hAnsi="Arial" w:cs="Arial"/>
          <w:b/>
          <w:bCs/>
          <w:color w:val="0070C0"/>
          <w:sz w:val="40"/>
          <w:szCs w:val="40"/>
        </w:rPr>
      </w:pPr>
      <w:bookmarkStart w:id="9" w:name="_Hlk177636966"/>
      <w:r>
        <w:rPr>
          <w:rFonts w:ascii="Arial" w:hAnsi="Arial" w:cs="Arial"/>
          <w:b/>
          <w:bCs/>
          <w:color w:val="0070C0"/>
          <w:sz w:val="40"/>
          <w:szCs w:val="40"/>
        </w:rPr>
        <w:lastRenderedPageBreak/>
        <w:t xml:space="preserve"> </w:t>
      </w:r>
      <w:r w:rsidR="006719D5" w:rsidRPr="00B31F68">
        <w:rPr>
          <w:rFonts w:ascii="Arial" w:hAnsi="Arial" w:cs="Arial"/>
          <w:b/>
          <w:bCs/>
          <w:color w:val="0070C0"/>
          <w:sz w:val="40"/>
          <w:szCs w:val="40"/>
        </w:rPr>
        <w:t>Crimen</w:t>
      </w:r>
      <w:bookmarkEnd w:id="9"/>
      <w:r w:rsidR="006719D5" w:rsidRPr="00B31F68">
        <w:rPr>
          <w:rFonts w:ascii="Arial" w:hAnsi="Arial" w:cs="Arial"/>
          <w:b/>
          <w:bCs/>
          <w:color w:val="0070C0"/>
          <w:sz w:val="40"/>
          <w:szCs w:val="40"/>
        </w:rPr>
        <w:t xml:space="preserve"> organizado y trata de personas</w:t>
      </w:r>
      <w:r w:rsidR="00DA15A1">
        <w:rPr>
          <w:rStyle w:val="Refdenotaalpie"/>
          <w:rFonts w:ascii="Arial" w:hAnsi="Arial" w:cs="Arial"/>
          <w:b/>
          <w:bCs/>
          <w:color w:val="0070C0"/>
          <w:sz w:val="40"/>
          <w:szCs w:val="40"/>
        </w:rPr>
        <w:footnoteReference w:id="3"/>
      </w:r>
    </w:p>
    <w:p w14:paraId="5A0CE2FB" w14:textId="38C8BFC4"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La trata de personas es un delito que socava la base sobre la que se erige y</w:t>
      </w:r>
      <w:r w:rsidR="00A03B10" w:rsidRPr="00F21E8E">
        <w:rPr>
          <w:rFonts w:ascii="Rockwell" w:hAnsi="Rockwell"/>
        </w:rPr>
        <w:t xml:space="preserve"> </w:t>
      </w:r>
      <w:r w:rsidRPr="00F21E8E">
        <w:rPr>
          <w:rFonts w:ascii="Rockwell" w:hAnsi="Rockwell"/>
        </w:rPr>
        <w:t xml:space="preserve">justifica un Estado de </w:t>
      </w:r>
      <w:r w:rsidR="006A4B7E" w:rsidRPr="00F21E8E">
        <w:rPr>
          <w:rFonts w:ascii="Rockwell" w:hAnsi="Rockwell"/>
        </w:rPr>
        <w:t>d</w:t>
      </w:r>
      <w:r w:rsidRPr="00F21E8E">
        <w:rPr>
          <w:rFonts w:ascii="Rockwell" w:hAnsi="Rockwell"/>
        </w:rPr>
        <w:t>erecho: la dignidad humana.</w:t>
      </w:r>
      <w:r w:rsidR="00A03B10" w:rsidRPr="00F21E8E">
        <w:rPr>
          <w:rFonts w:ascii="Rockwell" w:hAnsi="Rockwell"/>
        </w:rPr>
        <w:t xml:space="preserve"> </w:t>
      </w:r>
      <w:r w:rsidRPr="00F21E8E">
        <w:rPr>
          <w:rFonts w:ascii="Rockwell" w:hAnsi="Rockwell"/>
        </w:rPr>
        <w:t>Involucra un proceso de sometimiento y mercantilización</w:t>
      </w:r>
      <w:r w:rsidR="00A03B10" w:rsidRPr="00F21E8E">
        <w:rPr>
          <w:rFonts w:ascii="Rockwell" w:hAnsi="Rockwell"/>
        </w:rPr>
        <w:t xml:space="preserve"> </w:t>
      </w:r>
      <w:r w:rsidRPr="00F21E8E">
        <w:rPr>
          <w:rFonts w:ascii="Rockwell" w:hAnsi="Rockwell"/>
        </w:rPr>
        <w:t xml:space="preserve">de los seres humanos. Por ese motivo, es considerada una forma de </w:t>
      </w:r>
      <w:r w:rsidR="00A03B10" w:rsidRPr="00F21E8E">
        <w:rPr>
          <w:rFonts w:ascii="Rockwell" w:hAnsi="Rockwell"/>
        </w:rPr>
        <w:t xml:space="preserve">violación </w:t>
      </w:r>
      <w:r w:rsidRPr="00F21E8E">
        <w:rPr>
          <w:rFonts w:ascii="Rockwell" w:hAnsi="Rockwell"/>
        </w:rPr>
        <w:t>múltiple y continuada que transgrede derechos esenciales de toda</w:t>
      </w:r>
      <w:r w:rsidR="00A03B10" w:rsidRPr="00F21E8E">
        <w:rPr>
          <w:rFonts w:ascii="Rockwell" w:hAnsi="Rockwell"/>
        </w:rPr>
        <w:t xml:space="preserve"> </w:t>
      </w:r>
      <w:r w:rsidRPr="00F21E8E">
        <w:rPr>
          <w:rFonts w:ascii="Rockwell" w:hAnsi="Rockwell"/>
        </w:rPr>
        <w:t>persona.</w:t>
      </w:r>
    </w:p>
    <w:p w14:paraId="67F6090B" w14:textId="7F678392"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No es posible concebir a una víctima de trata de personas</w:t>
      </w:r>
      <w:r w:rsidR="00A03B10" w:rsidRPr="00F21E8E">
        <w:rPr>
          <w:rFonts w:ascii="Rockwell" w:hAnsi="Rockwell"/>
        </w:rPr>
        <w:t xml:space="preserve"> </w:t>
      </w:r>
      <w:r w:rsidRPr="00F21E8E">
        <w:rPr>
          <w:rFonts w:ascii="Rockwell" w:hAnsi="Rockwell"/>
        </w:rPr>
        <w:t>sin tomar en cuenta las experiencias traumáticas por las que ha tenido que</w:t>
      </w:r>
      <w:r w:rsidR="00A03B10" w:rsidRPr="00F21E8E">
        <w:rPr>
          <w:rFonts w:ascii="Rockwell" w:hAnsi="Rockwell"/>
        </w:rPr>
        <w:t xml:space="preserve"> </w:t>
      </w:r>
      <w:r w:rsidRPr="00F21E8E">
        <w:rPr>
          <w:rFonts w:ascii="Rockwell" w:hAnsi="Rockwell"/>
        </w:rPr>
        <w:t>pasar, y el dolor y las heridas que carga. Esta sola realidad debería bastar</w:t>
      </w:r>
      <w:r w:rsidR="00A03B10" w:rsidRPr="00F21E8E">
        <w:rPr>
          <w:rFonts w:ascii="Rockwell" w:hAnsi="Rockwell"/>
        </w:rPr>
        <w:t xml:space="preserve"> </w:t>
      </w:r>
      <w:r w:rsidRPr="00F21E8E">
        <w:rPr>
          <w:rFonts w:ascii="Rockwell" w:hAnsi="Rockwell"/>
        </w:rPr>
        <w:t>para que los operadores de justicia y de servicios que intervienen</w:t>
      </w:r>
      <w:r w:rsidR="00A03B10" w:rsidRPr="00F21E8E">
        <w:rPr>
          <w:rFonts w:ascii="Rockwell" w:hAnsi="Rockwell"/>
        </w:rPr>
        <w:t xml:space="preserve"> </w:t>
      </w:r>
      <w:r w:rsidRPr="00F21E8E">
        <w:rPr>
          <w:rFonts w:ascii="Rockwell" w:hAnsi="Rockwell"/>
        </w:rPr>
        <w:t xml:space="preserve">en estos casos hagan </w:t>
      </w:r>
      <w:r w:rsidR="00E5104F" w:rsidRPr="00F21E8E">
        <w:rPr>
          <w:rFonts w:ascii="Rockwell" w:hAnsi="Rockwell"/>
        </w:rPr>
        <w:t xml:space="preserve">hasta </w:t>
      </w:r>
      <w:r w:rsidRPr="00F21E8E">
        <w:rPr>
          <w:rFonts w:ascii="Rockwell" w:hAnsi="Rockwell"/>
        </w:rPr>
        <w:t>lo imposible para evitar agudizar el trauma de</w:t>
      </w:r>
      <w:r w:rsidR="00A03B10" w:rsidRPr="00F21E8E">
        <w:rPr>
          <w:rFonts w:ascii="Rockwell" w:hAnsi="Rockwell"/>
        </w:rPr>
        <w:t xml:space="preserve"> </w:t>
      </w:r>
      <w:r w:rsidRPr="00F21E8E">
        <w:rPr>
          <w:rFonts w:ascii="Rockwell" w:hAnsi="Rockwell"/>
        </w:rPr>
        <w:t>origen, y prestar especial cuidado en cada una de las interacciones con</w:t>
      </w:r>
      <w:r w:rsidR="00A03B10" w:rsidRPr="00F21E8E">
        <w:rPr>
          <w:rFonts w:ascii="Rockwell" w:hAnsi="Rockwell"/>
        </w:rPr>
        <w:t xml:space="preserve"> </w:t>
      </w:r>
      <w:r w:rsidRPr="00F21E8E">
        <w:rPr>
          <w:rFonts w:ascii="Rockwell" w:hAnsi="Rockwell"/>
        </w:rPr>
        <w:t xml:space="preserve">estas. </w:t>
      </w:r>
    </w:p>
    <w:p w14:paraId="7982B83B" w14:textId="2725BFD5" w:rsidR="00B22305" w:rsidRDefault="00B22305" w:rsidP="00B973CC">
      <w:pPr>
        <w:spacing w:before="120" w:after="0" w:line="240" w:lineRule="auto"/>
        <w:ind w:firstLine="170"/>
        <w:jc w:val="both"/>
        <w:rPr>
          <w:rFonts w:ascii="Rockwell" w:hAnsi="Rockwell"/>
        </w:rPr>
      </w:pPr>
      <w:r w:rsidRPr="00F21E8E">
        <w:rPr>
          <w:rFonts w:ascii="Rockwell" w:hAnsi="Rockwell"/>
        </w:rPr>
        <w:t>Parte del problema tiene que ver con una apreciación por parte</w:t>
      </w:r>
      <w:r w:rsidR="00A03B10" w:rsidRPr="00F21E8E">
        <w:rPr>
          <w:rFonts w:ascii="Rockwell" w:hAnsi="Rockwell"/>
        </w:rPr>
        <w:t xml:space="preserve"> </w:t>
      </w:r>
      <w:r w:rsidRPr="00F21E8E">
        <w:rPr>
          <w:rFonts w:ascii="Rockwell" w:hAnsi="Rockwell"/>
        </w:rPr>
        <w:t>de operadores de justicia de las víctimas como un</w:t>
      </w:r>
      <w:r w:rsidR="00A03B10" w:rsidRPr="00F21E8E">
        <w:rPr>
          <w:rFonts w:ascii="Rockwell" w:hAnsi="Rockwell"/>
        </w:rPr>
        <w:t xml:space="preserve"> </w:t>
      </w:r>
      <w:r w:rsidRPr="00F21E8E">
        <w:rPr>
          <w:rFonts w:ascii="Rockwell" w:hAnsi="Rockwell"/>
        </w:rPr>
        <w:t>instrumento para realizar los fines de la persecución penal contra las</w:t>
      </w:r>
      <w:r w:rsidR="00A03B10" w:rsidRPr="00F21E8E">
        <w:rPr>
          <w:rFonts w:ascii="Rockwell" w:hAnsi="Rockwell"/>
        </w:rPr>
        <w:t xml:space="preserve"> </w:t>
      </w:r>
      <w:r w:rsidRPr="00F21E8E">
        <w:rPr>
          <w:rFonts w:ascii="Rockwell" w:hAnsi="Rockwell"/>
        </w:rPr>
        <w:t xml:space="preserve">personas tratantes. Esto se ve en la respuesta de </w:t>
      </w:r>
      <w:r w:rsidR="006A4B7E" w:rsidRPr="00F21E8E">
        <w:rPr>
          <w:rFonts w:ascii="Rockwell" w:hAnsi="Rockwell"/>
        </w:rPr>
        <w:t>l</w:t>
      </w:r>
      <w:r w:rsidRPr="00F21E8E">
        <w:rPr>
          <w:rFonts w:ascii="Rockwell" w:hAnsi="Rockwell"/>
        </w:rPr>
        <w:t>os</w:t>
      </w:r>
      <w:r w:rsidR="00A03B10" w:rsidRPr="00F21E8E">
        <w:rPr>
          <w:rFonts w:ascii="Rockwell" w:hAnsi="Rockwell"/>
        </w:rPr>
        <w:t xml:space="preserve"> </w:t>
      </w:r>
      <w:r w:rsidRPr="00F21E8E">
        <w:rPr>
          <w:rFonts w:ascii="Rockwell" w:hAnsi="Rockwell"/>
        </w:rPr>
        <w:t>Estados que condicionan su protección y asistencia a la colaboración que</w:t>
      </w:r>
      <w:r w:rsidR="00A03B10" w:rsidRPr="00F21E8E">
        <w:rPr>
          <w:rFonts w:ascii="Rockwell" w:hAnsi="Rockwell"/>
        </w:rPr>
        <w:t xml:space="preserve"> </w:t>
      </w:r>
      <w:r w:rsidRPr="00F21E8E">
        <w:rPr>
          <w:rFonts w:ascii="Rockwell" w:hAnsi="Rockwell"/>
        </w:rPr>
        <w:t>brinden en las actuaciones penales. Se obvia fácilmente</w:t>
      </w:r>
      <w:r w:rsidR="00A03B10" w:rsidRPr="00F21E8E">
        <w:rPr>
          <w:rFonts w:ascii="Rockwell" w:hAnsi="Rockwell"/>
        </w:rPr>
        <w:t xml:space="preserve"> </w:t>
      </w:r>
      <w:r w:rsidRPr="00F21E8E">
        <w:rPr>
          <w:rFonts w:ascii="Rockwell" w:hAnsi="Rockwell"/>
        </w:rPr>
        <w:t>que, aunque el proceso penal se centre en la figura del imputado tratante,</w:t>
      </w:r>
      <w:r w:rsidR="00A03B10" w:rsidRPr="00F21E8E">
        <w:rPr>
          <w:rFonts w:ascii="Rockwell" w:hAnsi="Rockwell"/>
        </w:rPr>
        <w:t xml:space="preserve"> </w:t>
      </w:r>
      <w:r w:rsidRPr="00F21E8E">
        <w:rPr>
          <w:rFonts w:ascii="Rockwell" w:hAnsi="Rockwell"/>
        </w:rPr>
        <w:t>los operadores de justicia tienen obligaciones igualmente exigibles</w:t>
      </w:r>
      <w:r w:rsidR="00A03B10" w:rsidRPr="00F21E8E">
        <w:rPr>
          <w:rFonts w:ascii="Rockwell" w:hAnsi="Rockwell"/>
        </w:rPr>
        <w:t xml:space="preserve"> </w:t>
      </w:r>
      <w:r w:rsidRPr="00F21E8E">
        <w:rPr>
          <w:rFonts w:ascii="Rockwell" w:hAnsi="Rockwell"/>
        </w:rPr>
        <w:t>hacia las víctimas.</w:t>
      </w:r>
      <w:r w:rsidR="00A03B10" w:rsidRPr="00F21E8E">
        <w:rPr>
          <w:rFonts w:ascii="Rockwell" w:hAnsi="Rockwell"/>
        </w:rPr>
        <w:t xml:space="preserve"> </w:t>
      </w:r>
      <w:r w:rsidRPr="00F21E8E">
        <w:rPr>
          <w:rFonts w:ascii="Rockwell" w:hAnsi="Rockwell"/>
        </w:rPr>
        <w:t>Sus derechos deben ser cautelosamente protegidos</w:t>
      </w:r>
      <w:r w:rsidR="00A03B10" w:rsidRPr="00F21E8E">
        <w:rPr>
          <w:rFonts w:ascii="Rockwell" w:hAnsi="Rockwell"/>
        </w:rPr>
        <w:t xml:space="preserve"> </w:t>
      </w:r>
      <w:r w:rsidRPr="00F21E8E">
        <w:rPr>
          <w:rFonts w:ascii="Rockwell" w:hAnsi="Rockwell"/>
        </w:rPr>
        <w:t>en el tránsito de la búsqueda hacia la justicia. Sus necesidades deben</w:t>
      </w:r>
      <w:r w:rsidR="00A03B10" w:rsidRPr="00F21E8E">
        <w:rPr>
          <w:rFonts w:ascii="Rockwell" w:hAnsi="Rockwell"/>
        </w:rPr>
        <w:t xml:space="preserve"> </w:t>
      </w:r>
      <w:r w:rsidRPr="00F21E8E">
        <w:rPr>
          <w:rFonts w:ascii="Rockwell" w:hAnsi="Rockwell"/>
        </w:rPr>
        <w:t>ser un horizonte que guíe la actuación de las autoridades intervinientes.</w:t>
      </w:r>
      <w:r w:rsidR="006A4B7E" w:rsidRPr="00F21E8E">
        <w:rPr>
          <w:rFonts w:ascii="Rockwell" w:hAnsi="Rockwell"/>
        </w:rPr>
        <w:t xml:space="preserve"> </w:t>
      </w:r>
      <w:r w:rsidRPr="00F21E8E">
        <w:rPr>
          <w:rFonts w:ascii="Rockwell" w:hAnsi="Rockwell"/>
        </w:rPr>
        <w:t>Sus preocupaciones deben ser atendidas en cada una de las etapas</w:t>
      </w:r>
      <w:r w:rsidR="006A4B7E" w:rsidRPr="00F21E8E">
        <w:rPr>
          <w:rFonts w:ascii="Rockwell" w:hAnsi="Rockwell"/>
        </w:rPr>
        <w:t xml:space="preserve"> </w:t>
      </w:r>
      <w:r w:rsidRPr="00F21E8E">
        <w:rPr>
          <w:rFonts w:ascii="Rockwell" w:hAnsi="Rockwell"/>
        </w:rPr>
        <w:t>del proceso penal. Sus emociones deben ser validadas y sus voces,</w:t>
      </w:r>
      <w:r w:rsidR="006A4B7E" w:rsidRPr="00F21E8E">
        <w:rPr>
          <w:rFonts w:ascii="Rockwell" w:hAnsi="Rockwell"/>
        </w:rPr>
        <w:t xml:space="preserve"> </w:t>
      </w:r>
      <w:r w:rsidRPr="00F21E8E">
        <w:rPr>
          <w:rFonts w:ascii="Rockwell" w:hAnsi="Rockwell"/>
        </w:rPr>
        <w:t>constantemente escuchadas. Su participación no debe ser accesoria</w:t>
      </w:r>
      <w:r w:rsidR="006A4B7E" w:rsidRPr="00F21E8E">
        <w:rPr>
          <w:rFonts w:ascii="Rockwell" w:hAnsi="Rockwell"/>
        </w:rPr>
        <w:t xml:space="preserve"> </w:t>
      </w:r>
      <w:r w:rsidRPr="00F21E8E">
        <w:rPr>
          <w:rFonts w:ascii="Rockwell" w:hAnsi="Rockwell"/>
        </w:rPr>
        <w:t xml:space="preserve">en las estrategias de intervención de los operadores de justicia. </w:t>
      </w:r>
    </w:p>
    <w:p w14:paraId="49B64595" w14:textId="77777777" w:rsidR="00B31F68" w:rsidRPr="00F21E8E" w:rsidRDefault="00B31F68" w:rsidP="00B973CC">
      <w:pPr>
        <w:spacing w:before="120" w:after="0" w:line="240" w:lineRule="auto"/>
        <w:ind w:firstLine="170"/>
        <w:jc w:val="both"/>
        <w:rPr>
          <w:rFonts w:ascii="Rockwell" w:hAnsi="Rockwell"/>
        </w:rPr>
      </w:pPr>
    </w:p>
    <w:p w14:paraId="3AFE6F3C" w14:textId="6CC706A3" w:rsidR="00B22305" w:rsidRPr="00F21E8E" w:rsidRDefault="00B22305" w:rsidP="00B973CC">
      <w:pPr>
        <w:spacing w:before="120" w:after="0" w:line="240" w:lineRule="auto"/>
        <w:ind w:firstLine="170"/>
        <w:jc w:val="both"/>
        <w:rPr>
          <w:rFonts w:ascii="Rockwell" w:hAnsi="Rockwell"/>
          <w:b/>
          <w:bCs/>
        </w:rPr>
      </w:pPr>
      <w:r w:rsidRPr="00F21E8E">
        <w:rPr>
          <w:rFonts w:ascii="Rockwell" w:hAnsi="Rockwell"/>
          <w:b/>
          <w:bCs/>
        </w:rPr>
        <w:t>Enfoque centrado en la víctima</w:t>
      </w:r>
    </w:p>
    <w:p w14:paraId="431B0708" w14:textId="2A568E4E" w:rsidR="00B22305" w:rsidRPr="00F21E8E" w:rsidRDefault="00C17CF0" w:rsidP="00B973CC">
      <w:pPr>
        <w:spacing w:before="120" w:after="0" w:line="240" w:lineRule="auto"/>
        <w:ind w:firstLine="170"/>
        <w:jc w:val="both"/>
        <w:rPr>
          <w:rFonts w:ascii="Rockwell" w:hAnsi="Rockwell"/>
        </w:rPr>
      </w:pPr>
      <w:r>
        <w:rPr>
          <w:rFonts w:ascii="Rockwell" w:hAnsi="Rockwell"/>
          <w:noProof/>
        </w:rPr>
        <w:drawing>
          <wp:anchor distT="0" distB="0" distL="114300" distR="114300" simplePos="0" relativeHeight="251667456" behindDoc="0" locked="0" layoutInCell="1" allowOverlap="1" wp14:anchorId="79E6655F" wp14:editId="05AF42AF">
            <wp:simplePos x="0" y="0"/>
            <wp:positionH relativeFrom="margin">
              <wp:posOffset>70485</wp:posOffset>
            </wp:positionH>
            <wp:positionV relativeFrom="paragraph">
              <wp:posOffset>1167130</wp:posOffset>
            </wp:positionV>
            <wp:extent cx="4324350" cy="3077845"/>
            <wp:effectExtent l="0" t="0" r="0" b="8255"/>
            <wp:wrapSquare wrapText="bothSides"/>
            <wp:docPr id="115263323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duotone>
                        <a:schemeClr val="accent1">
                          <a:shade val="45000"/>
                          <a:satMod val="135000"/>
                        </a:schemeClr>
                        <a:prstClr val="white"/>
                      </a:duotone>
                      <a:extLst>
                        <a:ext uri="{28A0092B-C50C-407E-A947-70E740481C1C}">
                          <a14:useLocalDpi xmlns:a14="http://schemas.microsoft.com/office/drawing/2010/main" val="0"/>
                        </a:ext>
                      </a:extLst>
                    </a:blip>
                    <a:srcRect l="9267"/>
                    <a:stretch/>
                  </pic:blipFill>
                  <pic:spPr bwMode="auto">
                    <a:xfrm>
                      <a:off x="0" y="0"/>
                      <a:ext cx="4324350" cy="3077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2305" w:rsidRPr="00F21E8E">
        <w:rPr>
          <w:rFonts w:ascii="Rockwell" w:hAnsi="Rockwell"/>
        </w:rPr>
        <w:t>El enfoque centrado en la víctima coloca las prioridades, necesidades e</w:t>
      </w:r>
      <w:r w:rsidR="00A14EC9" w:rsidRPr="00F21E8E">
        <w:rPr>
          <w:rFonts w:ascii="Rockwell" w:hAnsi="Rockwell"/>
        </w:rPr>
        <w:t xml:space="preserve"> </w:t>
      </w:r>
      <w:r w:rsidR="00B22305" w:rsidRPr="00F21E8E">
        <w:rPr>
          <w:rFonts w:ascii="Rockwell" w:hAnsi="Rockwell"/>
        </w:rPr>
        <w:t>intereses de las víctimas en el centro de la respuesta</w:t>
      </w:r>
      <w:r w:rsidR="00A14EC9" w:rsidRPr="00F21E8E">
        <w:rPr>
          <w:rFonts w:ascii="Rockwell" w:hAnsi="Rockwell"/>
        </w:rPr>
        <w:t xml:space="preserve"> </w:t>
      </w:r>
      <w:r w:rsidR="00B22305" w:rsidRPr="00F21E8E">
        <w:rPr>
          <w:rFonts w:ascii="Rockwell" w:hAnsi="Rockwell"/>
        </w:rPr>
        <w:t>que brinda el Estado para hacer frente al fenómeno criminal, en este</w:t>
      </w:r>
      <w:r w:rsidR="00A14EC9" w:rsidRPr="00F21E8E">
        <w:rPr>
          <w:rFonts w:ascii="Rockwell" w:hAnsi="Rockwell"/>
        </w:rPr>
        <w:t xml:space="preserve"> </w:t>
      </w:r>
      <w:r w:rsidR="00B22305" w:rsidRPr="00F21E8E">
        <w:rPr>
          <w:rFonts w:ascii="Rockwell" w:hAnsi="Rockwell"/>
        </w:rPr>
        <w:t>caso, la trata de personas. Exige brindar asistencia sin prejuicios o</w:t>
      </w:r>
      <w:r w:rsidR="00A14EC9" w:rsidRPr="00F21E8E">
        <w:rPr>
          <w:rFonts w:ascii="Rockwell" w:hAnsi="Rockwell"/>
        </w:rPr>
        <w:t xml:space="preserve"> </w:t>
      </w:r>
      <w:r w:rsidR="00B22305" w:rsidRPr="00F21E8E">
        <w:rPr>
          <w:rFonts w:ascii="Rockwell" w:hAnsi="Rockwell"/>
        </w:rPr>
        <w:t>estereotipos de género, enfatizar la autodeterminación de la víctima, apoyándola a tomar decisiones informadas; asegurar</w:t>
      </w:r>
      <w:r w:rsidR="00A14EC9" w:rsidRPr="00F21E8E">
        <w:rPr>
          <w:rFonts w:ascii="Rockwell" w:hAnsi="Rockwell"/>
        </w:rPr>
        <w:t xml:space="preserve"> </w:t>
      </w:r>
      <w:r w:rsidR="00B22305" w:rsidRPr="00F21E8E">
        <w:rPr>
          <w:rFonts w:ascii="Rockwell" w:hAnsi="Rockwell"/>
        </w:rPr>
        <w:t>que sea una prioridad restaurar su sensación de seguridad y</w:t>
      </w:r>
      <w:r w:rsidR="00A14EC9" w:rsidRPr="00F21E8E">
        <w:rPr>
          <w:rFonts w:ascii="Rockwell" w:hAnsi="Rockwell"/>
        </w:rPr>
        <w:t xml:space="preserve"> </w:t>
      </w:r>
      <w:r w:rsidR="00B22305" w:rsidRPr="00F21E8E">
        <w:rPr>
          <w:rFonts w:ascii="Rockwell" w:hAnsi="Rockwell"/>
        </w:rPr>
        <w:t>protección y protegerla contra políticas y prácticas que pueden volver</w:t>
      </w:r>
      <w:r w:rsidR="00A14EC9" w:rsidRPr="00F21E8E">
        <w:rPr>
          <w:rFonts w:ascii="Rockwell" w:hAnsi="Rockwell"/>
        </w:rPr>
        <w:t xml:space="preserve"> </w:t>
      </w:r>
      <w:r w:rsidR="00B22305" w:rsidRPr="00F21E8E">
        <w:rPr>
          <w:rFonts w:ascii="Rockwell" w:hAnsi="Rockwell"/>
        </w:rPr>
        <w:t>a traumatizarla; garantizar que sus derechos, voces y perspectivas se</w:t>
      </w:r>
      <w:r w:rsidR="00A14EC9" w:rsidRPr="00F21E8E">
        <w:rPr>
          <w:rFonts w:ascii="Rockwell" w:hAnsi="Rockwell"/>
        </w:rPr>
        <w:t xml:space="preserve"> </w:t>
      </w:r>
      <w:r w:rsidR="00B22305" w:rsidRPr="00F21E8E">
        <w:rPr>
          <w:rFonts w:ascii="Rockwell" w:hAnsi="Rockwell"/>
        </w:rPr>
        <w:t>incorporen al desarrollar e implementar políticas que impacten en las</w:t>
      </w:r>
      <w:r w:rsidR="00A14EC9" w:rsidRPr="00F21E8E">
        <w:rPr>
          <w:rFonts w:ascii="Rockwell" w:hAnsi="Rockwell"/>
        </w:rPr>
        <w:t xml:space="preserve"> </w:t>
      </w:r>
      <w:r w:rsidR="00B22305" w:rsidRPr="00F21E8E">
        <w:rPr>
          <w:rFonts w:ascii="Rockwell" w:hAnsi="Rockwell"/>
        </w:rPr>
        <w:t>víctimas del delito</w:t>
      </w:r>
      <w:r w:rsidR="00A14EC9" w:rsidRPr="00F21E8E">
        <w:rPr>
          <w:rFonts w:ascii="Rockwell" w:hAnsi="Rockwell"/>
        </w:rPr>
        <w:t>.</w:t>
      </w:r>
    </w:p>
    <w:p w14:paraId="2BF77902" w14:textId="4B374667"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Desde est</w:t>
      </w:r>
      <w:r w:rsidR="00623D14" w:rsidRPr="00F21E8E">
        <w:rPr>
          <w:rFonts w:ascii="Rockwell" w:hAnsi="Rockwell"/>
        </w:rPr>
        <w:t>e</w:t>
      </w:r>
      <w:r w:rsidRPr="00F21E8E">
        <w:rPr>
          <w:rFonts w:ascii="Rockwell" w:hAnsi="Rockwell"/>
        </w:rPr>
        <w:t xml:space="preserve"> </w:t>
      </w:r>
      <w:r w:rsidR="00623D14" w:rsidRPr="00F21E8E">
        <w:rPr>
          <w:rFonts w:ascii="Rockwell" w:hAnsi="Rockwell"/>
        </w:rPr>
        <w:t>enfoque</w:t>
      </w:r>
      <w:r w:rsidRPr="00F21E8E">
        <w:rPr>
          <w:rFonts w:ascii="Rockwell" w:hAnsi="Rockwell"/>
        </w:rPr>
        <w:t xml:space="preserve">, la víctima </w:t>
      </w:r>
      <w:r w:rsidR="003D5E02" w:rsidRPr="00F21E8E">
        <w:rPr>
          <w:rFonts w:ascii="Rockwell" w:hAnsi="Rockwell"/>
        </w:rPr>
        <w:t xml:space="preserve">ya </w:t>
      </w:r>
      <w:r w:rsidRPr="00F21E8E">
        <w:rPr>
          <w:rFonts w:ascii="Rockwell" w:hAnsi="Rockwell"/>
        </w:rPr>
        <w:t>no es un actor pasivo</w:t>
      </w:r>
      <w:r w:rsidR="00A14EC9" w:rsidRPr="00F21E8E">
        <w:rPr>
          <w:rFonts w:ascii="Rockwell" w:hAnsi="Rockwell"/>
        </w:rPr>
        <w:t xml:space="preserve"> </w:t>
      </w:r>
      <w:r w:rsidRPr="00F21E8E">
        <w:rPr>
          <w:rFonts w:ascii="Rockwell" w:hAnsi="Rockwell"/>
        </w:rPr>
        <w:t>en las decisiones estatales que inciden en su proyecto de vida, sino</w:t>
      </w:r>
      <w:r w:rsidR="00A14EC9" w:rsidRPr="00F21E8E">
        <w:rPr>
          <w:rFonts w:ascii="Rockwell" w:hAnsi="Rockwell"/>
        </w:rPr>
        <w:t xml:space="preserve"> </w:t>
      </w:r>
      <w:r w:rsidRPr="00F21E8E">
        <w:rPr>
          <w:rFonts w:ascii="Rockwell" w:hAnsi="Rockwell"/>
        </w:rPr>
        <w:t>que cobra protagonismo. Aplicado al proceso penal, representa un</w:t>
      </w:r>
      <w:r w:rsidR="00A14EC9" w:rsidRPr="00F21E8E">
        <w:rPr>
          <w:rFonts w:ascii="Rockwell" w:hAnsi="Rockwell"/>
        </w:rPr>
        <w:t xml:space="preserve"> </w:t>
      </w:r>
      <w:r w:rsidRPr="00F21E8E">
        <w:rPr>
          <w:rFonts w:ascii="Rockwell" w:hAnsi="Rockwell"/>
        </w:rPr>
        <w:t>cambio en el paradigma punitivo tradicional que restringe el rol de las</w:t>
      </w:r>
      <w:r w:rsidR="00A14EC9" w:rsidRPr="00F21E8E">
        <w:rPr>
          <w:rFonts w:ascii="Rockwell" w:hAnsi="Rockwell"/>
        </w:rPr>
        <w:t xml:space="preserve"> </w:t>
      </w:r>
      <w:r w:rsidRPr="00F21E8E">
        <w:rPr>
          <w:rFonts w:ascii="Rockwell" w:hAnsi="Rockwell"/>
        </w:rPr>
        <w:t>víctimas a un papel secundario en la persecución y sanción del delito.</w:t>
      </w:r>
    </w:p>
    <w:p w14:paraId="3AB0DE9E" w14:textId="291F5B84" w:rsidR="00B22305" w:rsidRPr="00F21E8E" w:rsidRDefault="00DA15A1" w:rsidP="00B973CC">
      <w:pPr>
        <w:spacing w:before="120" w:after="0" w:line="240" w:lineRule="auto"/>
        <w:ind w:firstLine="170"/>
        <w:jc w:val="both"/>
        <w:rPr>
          <w:rFonts w:ascii="Rockwell" w:hAnsi="Rockwell"/>
        </w:rPr>
      </w:pPr>
      <w:r>
        <w:rPr>
          <w:rFonts w:ascii="Rockwell" w:hAnsi="Rockwell"/>
        </w:rPr>
        <w:lastRenderedPageBreak/>
        <w:t>E</w:t>
      </w:r>
      <w:r w:rsidR="00B22305" w:rsidRPr="00F21E8E">
        <w:rPr>
          <w:rFonts w:ascii="Rockwell" w:hAnsi="Rockwell"/>
        </w:rPr>
        <w:t>l modelo hegemónico de la justicia penal adversarial</w:t>
      </w:r>
      <w:r w:rsidR="00A14EC9" w:rsidRPr="00F21E8E">
        <w:rPr>
          <w:rFonts w:ascii="Rockwell" w:hAnsi="Rockwell"/>
        </w:rPr>
        <w:t xml:space="preserve"> </w:t>
      </w:r>
      <w:r w:rsidR="00B22305" w:rsidRPr="00F21E8E">
        <w:rPr>
          <w:rFonts w:ascii="Rockwell" w:hAnsi="Rockwell"/>
        </w:rPr>
        <w:t>se enfoc</w:t>
      </w:r>
      <w:r>
        <w:rPr>
          <w:rFonts w:ascii="Rockwell" w:hAnsi="Rockwell"/>
        </w:rPr>
        <w:t>a</w:t>
      </w:r>
      <w:r w:rsidR="00B22305" w:rsidRPr="00F21E8E">
        <w:rPr>
          <w:rFonts w:ascii="Rockwell" w:hAnsi="Rockwell"/>
        </w:rPr>
        <w:t xml:space="preserve"> en limitar el poder punitivo y proteger los derechos del</w:t>
      </w:r>
      <w:r w:rsidR="00A14EC9" w:rsidRPr="00F21E8E">
        <w:rPr>
          <w:rFonts w:ascii="Rockwell" w:hAnsi="Rockwell"/>
        </w:rPr>
        <w:t xml:space="preserve"> </w:t>
      </w:r>
      <w:r w:rsidR="00B22305" w:rsidRPr="00F21E8E">
        <w:rPr>
          <w:rFonts w:ascii="Rockwell" w:hAnsi="Rockwell"/>
        </w:rPr>
        <w:t>imputado, mientras a la víctima se le extirp</w:t>
      </w:r>
      <w:r>
        <w:rPr>
          <w:rFonts w:ascii="Rockwell" w:hAnsi="Rockwell"/>
        </w:rPr>
        <w:t>a</w:t>
      </w:r>
      <w:r w:rsidR="00B22305" w:rsidRPr="00F21E8E">
        <w:rPr>
          <w:rFonts w:ascii="Rockwell" w:hAnsi="Rockwell"/>
        </w:rPr>
        <w:t xml:space="preserve"> de esta ecuación o releg</w:t>
      </w:r>
      <w:r>
        <w:rPr>
          <w:rFonts w:ascii="Rockwell" w:hAnsi="Rockwell"/>
        </w:rPr>
        <w:t>a</w:t>
      </w:r>
      <w:r w:rsidR="00A14EC9" w:rsidRPr="00F21E8E">
        <w:rPr>
          <w:rFonts w:ascii="Rockwell" w:hAnsi="Rockwell"/>
        </w:rPr>
        <w:t xml:space="preserve"> </w:t>
      </w:r>
      <w:r w:rsidR="00B22305" w:rsidRPr="00F21E8E">
        <w:rPr>
          <w:rFonts w:ascii="Rockwell" w:hAnsi="Rockwell"/>
        </w:rPr>
        <w:t>únicamente a la función de demandar una reparación civil. Detrás de</w:t>
      </w:r>
      <w:r w:rsidR="00A14EC9" w:rsidRPr="00F21E8E">
        <w:rPr>
          <w:rFonts w:ascii="Rockwell" w:hAnsi="Rockwell"/>
        </w:rPr>
        <w:t xml:space="preserve"> </w:t>
      </w:r>
      <w:r w:rsidR="00B22305" w:rsidRPr="00F21E8E">
        <w:rPr>
          <w:rFonts w:ascii="Rockwell" w:hAnsi="Rockwell"/>
        </w:rPr>
        <w:t>esta distribución de roles descansa la idea aún vigente que el</w:t>
      </w:r>
      <w:r w:rsidR="00A14EC9" w:rsidRPr="00F21E8E">
        <w:rPr>
          <w:rFonts w:ascii="Rockwell" w:hAnsi="Rockwell"/>
        </w:rPr>
        <w:t xml:space="preserve"> </w:t>
      </w:r>
      <w:r w:rsidR="00B22305" w:rsidRPr="00F21E8E">
        <w:rPr>
          <w:rFonts w:ascii="Rockwell" w:hAnsi="Rockwell"/>
        </w:rPr>
        <w:t>crimen es una ofensa al Estado que representa a la sociedad a través</w:t>
      </w:r>
      <w:r w:rsidR="00A14EC9" w:rsidRPr="00F21E8E">
        <w:rPr>
          <w:rFonts w:ascii="Rockwell" w:hAnsi="Rockwell"/>
        </w:rPr>
        <w:t xml:space="preserve"> </w:t>
      </w:r>
      <w:r w:rsidR="00B22305" w:rsidRPr="00F21E8E">
        <w:rPr>
          <w:rFonts w:ascii="Rockwell" w:hAnsi="Rockwell"/>
        </w:rPr>
        <w:t>del Ministerio Público, antes que a la víctima que ha experimentado</w:t>
      </w:r>
      <w:r w:rsidR="00A14EC9" w:rsidRPr="00F21E8E">
        <w:rPr>
          <w:rFonts w:ascii="Rockwell" w:hAnsi="Rockwell"/>
        </w:rPr>
        <w:t xml:space="preserve"> </w:t>
      </w:r>
      <w:r w:rsidR="00B22305" w:rsidRPr="00F21E8E">
        <w:rPr>
          <w:rFonts w:ascii="Rockwell" w:hAnsi="Rockwell"/>
        </w:rPr>
        <w:t>directamente el daño.</w:t>
      </w:r>
    </w:p>
    <w:p w14:paraId="441F875C" w14:textId="108C93DD" w:rsidR="00B22305" w:rsidRDefault="00B22305" w:rsidP="00B973CC">
      <w:pPr>
        <w:spacing w:before="120" w:after="0" w:line="240" w:lineRule="auto"/>
        <w:ind w:firstLine="170"/>
        <w:jc w:val="both"/>
        <w:rPr>
          <w:rFonts w:ascii="Rockwell" w:hAnsi="Rockwell"/>
        </w:rPr>
      </w:pPr>
      <w:r w:rsidRPr="00F21E8E">
        <w:rPr>
          <w:rFonts w:ascii="Rockwell" w:hAnsi="Rockwell"/>
        </w:rPr>
        <w:t>Fueron los aportes de los movimientos de derechos</w:t>
      </w:r>
      <w:r w:rsidR="00A14EC9" w:rsidRPr="00F21E8E">
        <w:rPr>
          <w:rFonts w:ascii="Rockwell" w:hAnsi="Rockwell"/>
        </w:rPr>
        <w:t xml:space="preserve"> </w:t>
      </w:r>
      <w:r w:rsidRPr="00F21E8E">
        <w:rPr>
          <w:rFonts w:ascii="Rockwell" w:hAnsi="Rockwell"/>
        </w:rPr>
        <w:t xml:space="preserve">civiles en los </w:t>
      </w:r>
      <w:r w:rsidR="00575F2D" w:rsidRPr="00F21E8E">
        <w:rPr>
          <w:rFonts w:ascii="Rockwell" w:hAnsi="Rockwell"/>
        </w:rPr>
        <w:t>años setenta</w:t>
      </w:r>
      <w:r w:rsidRPr="00F21E8E">
        <w:rPr>
          <w:rFonts w:ascii="Rockwell" w:hAnsi="Rockwell"/>
        </w:rPr>
        <w:t>, que contribuyeron al desarrollo</w:t>
      </w:r>
      <w:r w:rsidR="00A14EC9" w:rsidRPr="00F21E8E">
        <w:rPr>
          <w:rFonts w:ascii="Rockwell" w:hAnsi="Rockwell"/>
        </w:rPr>
        <w:t xml:space="preserve"> </w:t>
      </w:r>
      <w:r w:rsidRPr="00F21E8E">
        <w:rPr>
          <w:rFonts w:ascii="Rockwell" w:hAnsi="Rockwell"/>
        </w:rPr>
        <w:t>de los derechos de las víctimas, al visibilizar la desprotección de la</w:t>
      </w:r>
      <w:r w:rsidR="00A14EC9" w:rsidRPr="00F21E8E">
        <w:rPr>
          <w:rFonts w:ascii="Rockwell" w:hAnsi="Rockwell"/>
        </w:rPr>
        <w:t xml:space="preserve"> </w:t>
      </w:r>
      <w:r w:rsidRPr="00F21E8E">
        <w:rPr>
          <w:rFonts w:ascii="Rockwell" w:hAnsi="Rockwell"/>
        </w:rPr>
        <w:t>justicia penal de las minorías, y el rol descuidado e ignorado que</w:t>
      </w:r>
      <w:r w:rsidR="00A14EC9" w:rsidRPr="00F21E8E">
        <w:rPr>
          <w:rFonts w:ascii="Rockwell" w:hAnsi="Rockwell"/>
        </w:rPr>
        <w:t xml:space="preserve"> </w:t>
      </w:r>
      <w:r w:rsidRPr="00F21E8E">
        <w:rPr>
          <w:rFonts w:ascii="Rockwell" w:hAnsi="Rockwell"/>
        </w:rPr>
        <w:t>tenían las víctimas en el proceso penal.</w:t>
      </w:r>
      <w:r w:rsidR="006719D5">
        <w:rPr>
          <w:rFonts w:ascii="Rockwell" w:hAnsi="Rockwell"/>
        </w:rPr>
        <w:t xml:space="preserve"> </w:t>
      </w:r>
      <w:r w:rsidR="00A14EC9" w:rsidRPr="00F21E8E">
        <w:rPr>
          <w:rFonts w:ascii="Rockwell" w:hAnsi="Rockwell"/>
        </w:rPr>
        <w:t>Nuevos e</w:t>
      </w:r>
      <w:r w:rsidRPr="00F21E8E">
        <w:rPr>
          <w:rFonts w:ascii="Rockwell" w:hAnsi="Rockwell"/>
        </w:rPr>
        <w:t xml:space="preserve">studios </w:t>
      </w:r>
      <w:r w:rsidR="00A14EC9" w:rsidRPr="00F21E8E">
        <w:rPr>
          <w:rFonts w:ascii="Rockwell" w:hAnsi="Rockwell"/>
        </w:rPr>
        <w:t xml:space="preserve">pusieron en </w:t>
      </w:r>
      <w:r w:rsidRPr="00F21E8E">
        <w:rPr>
          <w:rFonts w:ascii="Rockwell" w:hAnsi="Rockwell"/>
        </w:rPr>
        <w:t>evidencia distorsiones empíricas que traía este modelo</w:t>
      </w:r>
      <w:r w:rsidR="00A14EC9" w:rsidRPr="00F21E8E">
        <w:rPr>
          <w:rFonts w:ascii="Rockwell" w:hAnsi="Rockwell"/>
        </w:rPr>
        <w:t xml:space="preserve"> </w:t>
      </w:r>
      <w:r w:rsidRPr="00F21E8E">
        <w:rPr>
          <w:rFonts w:ascii="Rockwell" w:hAnsi="Rockwell"/>
        </w:rPr>
        <w:t>tradicional que omitía sus necesidades e intereses, afectando</w:t>
      </w:r>
      <w:r w:rsidR="00A14EC9" w:rsidRPr="00F21E8E">
        <w:rPr>
          <w:rFonts w:ascii="Rockwell" w:hAnsi="Rockwell"/>
        </w:rPr>
        <w:t xml:space="preserve"> </w:t>
      </w:r>
      <w:r w:rsidRPr="00F21E8E">
        <w:rPr>
          <w:rFonts w:ascii="Rockwell" w:hAnsi="Rockwell"/>
        </w:rPr>
        <w:t>sus derechos y produciendo una insatisfacción en</w:t>
      </w:r>
      <w:r w:rsidR="00A14EC9" w:rsidRPr="00F21E8E">
        <w:rPr>
          <w:rFonts w:ascii="Rockwell" w:hAnsi="Rockwell"/>
        </w:rPr>
        <w:t xml:space="preserve"> </w:t>
      </w:r>
      <w:r w:rsidRPr="00F21E8E">
        <w:rPr>
          <w:rFonts w:ascii="Rockwell" w:hAnsi="Rockwell"/>
        </w:rPr>
        <w:t>las mismas sobre el sentido de justicia que estos procesos le</w:t>
      </w:r>
      <w:r w:rsidR="00A14EC9" w:rsidRPr="00F21E8E">
        <w:rPr>
          <w:rFonts w:ascii="Rockwell" w:hAnsi="Rockwell"/>
        </w:rPr>
        <w:t xml:space="preserve"> </w:t>
      </w:r>
      <w:r w:rsidRPr="00F21E8E">
        <w:rPr>
          <w:rFonts w:ascii="Rockwell" w:hAnsi="Rockwell"/>
        </w:rPr>
        <w:t xml:space="preserve">aseguraban. </w:t>
      </w:r>
    </w:p>
    <w:p w14:paraId="027579E0" w14:textId="77777777" w:rsidR="00B31F68" w:rsidRDefault="00B31F68" w:rsidP="00B973CC">
      <w:pPr>
        <w:spacing w:before="120" w:after="0" w:line="240" w:lineRule="auto"/>
        <w:ind w:firstLine="170"/>
        <w:jc w:val="both"/>
        <w:rPr>
          <w:rFonts w:ascii="Rockwell" w:hAnsi="Rockwell"/>
        </w:rPr>
      </w:pPr>
    </w:p>
    <w:p w14:paraId="1D94A8A7" w14:textId="5DD6AC79" w:rsidR="00DA15A1" w:rsidRPr="00DA15A1" w:rsidRDefault="00DA15A1" w:rsidP="00B973CC">
      <w:pPr>
        <w:spacing w:before="120" w:after="0" w:line="240" w:lineRule="auto"/>
        <w:ind w:firstLine="170"/>
        <w:jc w:val="both"/>
        <w:rPr>
          <w:rFonts w:ascii="Rockwell" w:hAnsi="Rockwell"/>
          <w:b/>
          <w:bCs/>
        </w:rPr>
      </w:pPr>
      <w:r w:rsidRPr="00DA15A1">
        <w:rPr>
          <w:rFonts w:ascii="Rockwell" w:hAnsi="Rockwell"/>
          <w:b/>
          <w:bCs/>
        </w:rPr>
        <w:t xml:space="preserve">Cambios </w:t>
      </w:r>
      <w:r w:rsidR="00B31F68">
        <w:rPr>
          <w:rFonts w:ascii="Rockwell" w:hAnsi="Rockwell"/>
          <w:b/>
          <w:bCs/>
        </w:rPr>
        <w:t>decisivos</w:t>
      </w:r>
      <w:r w:rsidRPr="00DA15A1">
        <w:rPr>
          <w:rFonts w:ascii="Rockwell" w:hAnsi="Rockwell"/>
          <w:b/>
          <w:bCs/>
        </w:rPr>
        <w:t xml:space="preserve"> en justicia penal</w:t>
      </w:r>
    </w:p>
    <w:p w14:paraId="1552F822" w14:textId="7C1134F0"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Siendo así, la justicia penal experimentó importantes cambios a fines del</w:t>
      </w:r>
      <w:r w:rsidR="00A14EC9" w:rsidRPr="00F21E8E">
        <w:rPr>
          <w:rFonts w:ascii="Rockwell" w:hAnsi="Rockwell"/>
        </w:rPr>
        <w:t xml:space="preserve"> </w:t>
      </w:r>
      <w:r w:rsidRPr="00F21E8E">
        <w:rPr>
          <w:rFonts w:ascii="Rockwell" w:hAnsi="Rockwell"/>
        </w:rPr>
        <w:t>siglo pasado con miras a reconocer un conjunto de derechos exigibles</w:t>
      </w:r>
      <w:r w:rsidR="00A14EC9" w:rsidRPr="00F21E8E">
        <w:rPr>
          <w:rFonts w:ascii="Rockwell" w:hAnsi="Rockwell"/>
        </w:rPr>
        <w:t xml:space="preserve"> </w:t>
      </w:r>
      <w:r w:rsidRPr="00F21E8E">
        <w:rPr>
          <w:rFonts w:ascii="Rockwell" w:hAnsi="Rockwell"/>
        </w:rPr>
        <w:t>a las víctimas durante el proceso penal, más allá de la reparación civil</w:t>
      </w:r>
      <w:r w:rsidR="00A14EC9" w:rsidRPr="00F21E8E">
        <w:rPr>
          <w:rFonts w:ascii="Rockwell" w:hAnsi="Rockwell"/>
        </w:rPr>
        <w:t xml:space="preserve"> </w:t>
      </w:r>
      <w:r w:rsidRPr="00F21E8E">
        <w:rPr>
          <w:rFonts w:ascii="Rockwell" w:hAnsi="Rockwell"/>
        </w:rPr>
        <w:t xml:space="preserve">reducida al resarcimiento económico. </w:t>
      </w:r>
      <w:r w:rsidR="003D5E02" w:rsidRPr="00F21E8E">
        <w:rPr>
          <w:rFonts w:ascii="Rockwell" w:hAnsi="Rockwell"/>
        </w:rPr>
        <w:t>El objetivo es</w:t>
      </w:r>
      <w:r w:rsidRPr="00F21E8E">
        <w:rPr>
          <w:rFonts w:ascii="Rockwell" w:hAnsi="Rockwell"/>
        </w:rPr>
        <w:t xml:space="preserve"> evitar la revictimización en su contra, empoderarlas en un proceso cuyo curso de acción afecta</w:t>
      </w:r>
      <w:r w:rsidR="00A14EC9" w:rsidRPr="00F21E8E">
        <w:rPr>
          <w:rFonts w:ascii="Rockwell" w:hAnsi="Rockwell"/>
        </w:rPr>
        <w:t xml:space="preserve"> </w:t>
      </w:r>
      <w:r w:rsidRPr="00F21E8E">
        <w:rPr>
          <w:rFonts w:ascii="Rockwell" w:hAnsi="Rockwell"/>
        </w:rPr>
        <w:t>sus derechos de acceso a la justicia, a la privacidad, a la</w:t>
      </w:r>
      <w:r w:rsidR="00A14EC9" w:rsidRPr="00F21E8E">
        <w:rPr>
          <w:rFonts w:ascii="Rockwell" w:hAnsi="Rockwell"/>
        </w:rPr>
        <w:t xml:space="preserve"> </w:t>
      </w:r>
      <w:r w:rsidRPr="00F21E8E">
        <w:rPr>
          <w:rFonts w:ascii="Rockwell" w:hAnsi="Rockwell"/>
        </w:rPr>
        <w:t>dignidad</w:t>
      </w:r>
      <w:r w:rsidR="00A14EC9" w:rsidRPr="00F21E8E">
        <w:rPr>
          <w:rFonts w:ascii="Rockwell" w:hAnsi="Rockwell"/>
        </w:rPr>
        <w:t xml:space="preserve"> y</w:t>
      </w:r>
      <w:r w:rsidRPr="00F21E8E">
        <w:rPr>
          <w:rFonts w:ascii="Rockwell" w:hAnsi="Rockwell"/>
        </w:rPr>
        <w:t xml:space="preserve"> a la salud. Los ajustes a la normativa fueron</w:t>
      </w:r>
      <w:r w:rsidR="00A14EC9" w:rsidRPr="00F21E8E">
        <w:rPr>
          <w:rFonts w:ascii="Rockwell" w:hAnsi="Rockwell"/>
        </w:rPr>
        <w:t xml:space="preserve"> </w:t>
      </w:r>
      <w:r w:rsidRPr="00F21E8E">
        <w:rPr>
          <w:rFonts w:ascii="Rockwell" w:hAnsi="Rockwell"/>
        </w:rPr>
        <w:t>una respuesta a los estándares internacionales en los que</w:t>
      </w:r>
      <w:r w:rsidR="00A14EC9" w:rsidRPr="00F21E8E">
        <w:rPr>
          <w:rFonts w:ascii="Rockwell" w:hAnsi="Rockwell"/>
        </w:rPr>
        <w:t xml:space="preserve"> </w:t>
      </w:r>
      <w:r w:rsidRPr="00F21E8E">
        <w:rPr>
          <w:rFonts w:ascii="Rockwell" w:hAnsi="Rockwell"/>
        </w:rPr>
        <w:t>el Estado tiene obligaciones de prevenir y enfrentar las violaciones a</w:t>
      </w:r>
      <w:r w:rsidR="00A14EC9" w:rsidRPr="00F21E8E">
        <w:rPr>
          <w:rFonts w:ascii="Rockwell" w:hAnsi="Rockwell"/>
        </w:rPr>
        <w:t xml:space="preserve"> </w:t>
      </w:r>
      <w:r w:rsidRPr="00F21E8E">
        <w:rPr>
          <w:rFonts w:ascii="Rockwell" w:hAnsi="Rockwell"/>
        </w:rPr>
        <w:t>derechos humanos, como lo es la trata de personas.</w:t>
      </w:r>
    </w:p>
    <w:p w14:paraId="0E2053DF" w14:textId="2A1549E8"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El deber de actuar con debida diligencia en la investigación,</w:t>
      </w:r>
      <w:r w:rsidR="00A14EC9" w:rsidRPr="00F21E8E">
        <w:rPr>
          <w:rFonts w:ascii="Rockwell" w:hAnsi="Rockwell"/>
        </w:rPr>
        <w:t xml:space="preserve"> </w:t>
      </w:r>
      <w:r w:rsidRPr="00F21E8E">
        <w:rPr>
          <w:rFonts w:ascii="Rockwell" w:hAnsi="Rockwell"/>
        </w:rPr>
        <w:t>procesamiento y sanción de estas violaciones obligó a establecer</w:t>
      </w:r>
      <w:r w:rsidR="00A14EC9" w:rsidRPr="00F21E8E">
        <w:rPr>
          <w:rFonts w:ascii="Rockwell" w:hAnsi="Rockwell"/>
        </w:rPr>
        <w:t xml:space="preserve"> </w:t>
      </w:r>
      <w:r w:rsidRPr="00F21E8E">
        <w:rPr>
          <w:rFonts w:ascii="Rockwell" w:hAnsi="Rockwell"/>
        </w:rPr>
        <w:t>límites al poder punitivo, pero esta vez, con relación al trato con las</w:t>
      </w:r>
      <w:r w:rsidR="00A14EC9" w:rsidRPr="00F21E8E">
        <w:rPr>
          <w:rFonts w:ascii="Rockwell" w:hAnsi="Rockwell"/>
        </w:rPr>
        <w:t xml:space="preserve"> </w:t>
      </w:r>
      <w:r w:rsidRPr="00F21E8E">
        <w:rPr>
          <w:rFonts w:ascii="Rockwell" w:hAnsi="Rockwell"/>
        </w:rPr>
        <w:t xml:space="preserve">víctimas. </w:t>
      </w:r>
      <w:r w:rsidR="00A14EC9" w:rsidRPr="00F21E8E">
        <w:rPr>
          <w:rFonts w:ascii="Rockwell" w:hAnsi="Rockwell"/>
        </w:rPr>
        <w:t>En</w:t>
      </w:r>
      <w:r w:rsidRPr="00F21E8E">
        <w:rPr>
          <w:rFonts w:ascii="Rockwell" w:hAnsi="Rockwell"/>
        </w:rPr>
        <w:t xml:space="preserve"> la actualidad, </w:t>
      </w:r>
      <w:r w:rsidR="00A14EC9" w:rsidRPr="00F21E8E">
        <w:rPr>
          <w:rFonts w:ascii="Rockwell" w:hAnsi="Rockwell"/>
        </w:rPr>
        <w:t>se</w:t>
      </w:r>
      <w:r w:rsidRPr="00F21E8E">
        <w:rPr>
          <w:rFonts w:ascii="Rockwell" w:hAnsi="Rockwell"/>
        </w:rPr>
        <w:t xml:space="preserve"> prohíbe toda forma de</w:t>
      </w:r>
      <w:r w:rsidR="00A14EC9" w:rsidRPr="00F21E8E">
        <w:rPr>
          <w:rFonts w:ascii="Rockwell" w:hAnsi="Rockwell"/>
        </w:rPr>
        <w:t xml:space="preserve"> </w:t>
      </w:r>
      <w:r w:rsidRPr="00F21E8E">
        <w:rPr>
          <w:rFonts w:ascii="Rockwell" w:hAnsi="Rockwell"/>
        </w:rPr>
        <w:t>revictimización en cualquier etapa procesal, el uso de estereotipos</w:t>
      </w:r>
      <w:r w:rsidR="00A14EC9" w:rsidRPr="00F21E8E">
        <w:rPr>
          <w:rFonts w:ascii="Rockwell" w:hAnsi="Rockwell"/>
        </w:rPr>
        <w:t xml:space="preserve"> </w:t>
      </w:r>
      <w:r w:rsidRPr="00F21E8E">
        <w:rPr>
          <w:rFonts w:ascii="Rockwell" w:hAnsi="Rockwell"/>
        </w:rPr>
        <w:t>de género por parte de los operadores de justicia, el uso de pruebas</w:t>
      </w:r>
      <w:r w:rsidR="00A14EC9" w:rsidRPr="00F21E8E">
        <w:rPr>
          <w:rFonts w:ascii="Rockwell" w:hAnsi="Rockwell"/>
        </w:rPr>
        <w:t xml:space="preserve"> </w:t>
      </w:r>
      <w:r w:rsidRPr="00F21E8E">
        <w:rPr>
          <w:rFonts w:ascii="Rockwell" w:hAnsi="Rockwell"/>
        </w:rPr>
        <w:t>que suponen una invasión arbitraria y desproporcionada en la</w:t>
      </w:r>
      <w:r w:rsidR="00A14EC9" w:rsidRPr="00F21E8E">
        <w:rPr>
          <w:rFonts w:ascii="Rockwell" w:hAnsi="Rockwell"/>
        </w:rPr>
        <w:t xml:space="preserve"> </w:t>
      </w:r>
      <w:r w:rsidRPr="00F21E8E">
        <w:rPr>
          <w:rFonts w:ascii="Rockwell" w:hAnsi="Rockwell"/>
        </w:rPr>
        <w:t>privacidad de la víctima, la reserva de su identidad,</w:t>
      </w:r>
      <w:r w:rsidR="00A14EC9" w:rsidRPr="00F21E8E">
        <w:rPr>
          <w:rFonts w:ascii="Rockwell" w:hAnsi="Rockwell"/>
        </w:rPr>
        <w:t xml:space="preserve"> </w:t>
      </w:r>
      <w:r w:rsidRPr="00F21E8E">
        <w:rPr>
          <w:rFonts w:ascii="Rockwell" w:hAnsi="Rockwell"/>
        </w:rPr>
        <w:t>cuando corresponda, bajo responsabilidad del magistrado, la</w:t>
      </w:r>
      <w:r w:rsidR="00A14EC9" w:rsidRPr="00F21E8E">
        <w:rPr>
          <w:rFonts w:ascii="Rockwell" w:hAnsi="Rockwell"/>
        </w:rPr>
        <w:t xml:space="preserve"> </w:t>
      </w:r>
      <w:r w:rsidRPr="00F21E8E">
        <w:rPr>
          <w:rFonts w:ascii="Rockwell" w:hAnsi="Rockwell"/>
        </w:rPr>
        <w:t xml:space="preserve">declaración única a través de la </w:t>
      </w:r>
      <w:r w:rsidR="000D0E61" w:rsidRPr="00F21E8E">
        <w:rPr>
          <w:rFonts w:ascii="Rockwell" w:hAnsi="Rockwell"/>
        </w:rPr>
        <w:t>c</w:t>
      </w:r>
      <w:r w:rsidRPr="00F21E8E">
        <w:rPr>
          <w:rFonts w:ascii="Rockwell" w:hAnsi="Rockwell"/>
        </w:rPr>
        <w:t>ámara Gesell, o la no confrontación</w:t>
      </w:r>
      <w:r w:rsidR="00A14EC9" w:rsidRPr="00F21E8E">
        <w:rPr>
          <w:rFonts w:ascii="Rockwell" w:hAnsi="Rockwell"/>
        </w:rPr>
        <w:t xml:space="preserve"> </w:t>
      </w:r>
      <w:r w:rsidRPr="00F21E8E">
        <w:rPr>
          <w:rFonts w:ascii="Rockwell" w:hAnsi="Rockwell"/>
        </w:rPr>
        <w:t>entre agresor y víctima, entre otros. Todos estos cambios se dieron</w:t>
      </w:r>
      <w:r w:rsidR="00A14EC9" w:rsidRPr="00F21E8E">
        <w:rPr>
          <w:rFonts w:ascii="Rockwell" w:hAnsi="Rockwell"/>
        </w:rPr>
        <w:t xml:space="preserve"> </w:t>
      </w:r>
      <w:r w:rsidRPr="00F21E8E">
        <w:rPr>
          <w:rFonts w:ascii="Rockwell" w:hAnsi="Rockwell"/>
        </w:rPr>
        <w:t>pensando en la necesidad de salvaguardar los derechos de la</w:t>
      </w:r>
      <w:r w:rsidR="00A14EC9" w:rsidRPr="00F21E8E">
        <w:rPr>
          <w:rFonts w:ascii="Rockwell" w:hAnsi="Rockwell"/>
        </w:rPr>
        <w:t xml:space="preserve"> </w:t>
      </w:r>
      <w:r w:rsidRPr="00F21E8E">
        <w:rPr>
          <w:rFonts w:ascii="Rockwell" w:hAnsi="Rockwell"/>
        </w:rPr>
        <w:t>víctima.</w:t>
      </w:r>
    </w:p>
    <w:p w14:paraId="77B2D0FC" w14:textId="3D93E24C" w:rsidR="00B10290" w:rsidRDefault="003D5E02" w:rsidP="00B973CC">
      <w:pPr>
        <w:spacing w:before="120" w:after="0" w:line="240" w:lineRule="auto"/>
        <w:ind w:firstLine="170"/>
        <w:jc w:val="both"/>
        <w:rPr>
          <w:rFonts w:ascii="Rockwell" w:hAnsi="Rockwell"/>
        </w:rPr>
      </w:pPr>
      <w:r w:rsidRPr="00F21E8E">
        <w:rPr>
          <w:rFonts w:ascii="Rockwell" w:hAnsi="Rockwell"/>
        </w:rPr>
        <w:t>El</w:t>
      </w:r>
      <w:r w:rsidR="00B22305" w:rsidRPr="00F21E8E">
        <w:rPr>
          <w:rFonts w:ascii="Rockwell" w:hAnsi="Rockwell"/>
        </w:rPr>
        <w:t xml:space="preserve"> enfoque centrado en la víctima</w:t>
      </w:r>
      <w:r w:rsidR="00A14EC9" w:rsidRPr="00F21E8E">
        <w:rPr>
          <w:rFonts w:ascii="Rockwell" w:hAnsi="Rockwell"/>
        </w:rPr>
        <w:t>,</w:t>
      </w:r>
      <w:r w:rsidR="00B22305" w:rsidRPr="00F21E8E">
        <w:rPr>
          <w:rFonts w:ascii="Rockwell" w:hAnsi="Rockwell"/>
        </w:rPr>
        <w:t xml:space="preserve"> aplicado</w:t>
      </w:r>
      <w:r w:rsidR="00A14EC9" w:rsidRPr="00F21E8E">
        <w:rPr>
          <w:rFonts w:ascii="Rockwell" w:hAnsi="Rockwell"/>
        </w:rPr>
        <w:t xml:space="preserve"> </w:t>
      </w:r>
      <w:r w:rsidR="00B22305" w:rsidRPr="00F21E8E">
        <w:rPr>
          <w:rFonts w:ascii="Rockwell" w:hAnsi="Rockwell"/>
        </w:rPr>
        <w:t>al proceso penal no solo ha permitido priorizar sus necesidades, sino,</w:t>
      </w:r>
      <w:r w:rsidR="00A14EC9" w:rsidRPr="00F21E8E">
        <w:rPr>
          <w:rFonts w:ascii="Rockwell" w:hAnsi="Rockwell"/>
        </w:rPr>
        <w:t xml:space="preserve"> </w:t>
      </w:r>
      <w:r w:rsidR="00B22305" w:rsidRPr="00F21E8E">
        <w:rPr>
          <w:rFonts w:ascii="Rockwell" w:hAnsi="Rockwell"/>
        </w:rPr>
        <w:t>como consecuencia de ello, garantizar sus derechos. Particularmente</w:t>
      </w:r>
      <w:r w:rsidR="00A14EC9" w:rsidRPr="00F21E8E">
        <w:rPr>
          <w:rFonts w:ascii="Rockwell" w:hAnsi="Rockwell"/>
        </w:rPr>
        <w:t xml:space="preserve"> </w:t>
      </w:r>
      <w:r w:rsidR="00B22305" w:rsidRPr="00F21E8E">
        <w:rPr>
          <w:rFonts w:ascii="Rockwell" w:hAnsi="Rockwell"/>
        </w:rPr>
        <w:t>en un proceso penal destinado a investigar, perseguir y sancionar los</w:t>
      </w:r>
      <w:r w:rsidR="00A14EC9" w:rsidRPr="00F21E8E">
        <w:rPr>
          <w:rFonts w:ascii="Rockwell" w:hAnsi="Rockwell"/>
        </w:rPr>
        <w:t xml:space="preserve"> </w:t>
      </w:r>
      <w:r w:rsidR="00B22305" w:rsidRPr="00F21E8E">
        <w:rPr>
          <w:rFonts w:ascii="Rockwell" w:hAnsi="Rockwell"/>
        </w:rPr>
        <w:t>delitos de los que esta ha sido víctima. Para ello, hay que entender las</w:t>
      </w:r>
      <w:r w:rsidR="00A14EC9" w:rsidRPr="00F21E8E">
        <w:rPr>
          <w:rFonts w:ascii="Rockwell" w:hAnsi="Rockwell"/>
        </w:rPr>
        <w:t xml:space="preserve"> </w:t>
      </w:r>
      <w:r w:rsidR="00B22305" w:rsidRPr="00F21E8E">
        <w:rPr>
          <w:rFonts w:ascii="Rockwell" w:hAnsi="Rockwell"/>
        </w:rPr>
        <w:t xml:space="preserve">secuelas que deja esa forma de criminalidad. </w:t>
      </w:r>
    </w:p>
    <w:p w14:paraId="362220E9" w14:textId="77777777" w:rsidR="00C42832" w:rsidRPr="00F21E8E" w:rsidRDefault="00C42832" w:rsidP="00B973CC">
      <w:pPr>
        <w:spacing w:before="120" w:after="0" w:line="240" w:lineRule="auto"/>
        <w:ind w:firstLine="170"/>
        <w:jc w:val="both"/>
        <w:rPr>
          <w:rFonts w:ascii="Rockwell" w:hAnsi="Rockwell"/>
        </w:rPr>
      </w:pPr>
    </w:p>
    <w:p w14:paraId="3DE33243" w14:textId="404458C1" w:rsidR="00B10290" w:rsidRPr="00F21E8E" w:rsidRDefault="00B10290" w:rsidP="00B973CC">
      <w:pPr>
        <w:spacing w:before="120" w:after="0" w:line="240" w:lineRule="auto"/>
        <w:ind w:firstLine="170"/>
        <w:jc w:val="both"/>
        <w:rPr>
          <w:rFonts w:ascii="Rockwell" w:hAnsi="Rockwell"/>
          <w:b/>
          <w:bCs/>
        </w:rPr>
      </w:pPr>
      <w:r w:rsidRPr="00F21E8E">
        <w:rPr>
          <w:rFonts w:ascii="Rockwell" w:hAnsi="Rockwell"/>
          <w:b/>
          <w:bCs/>
        </w:rPr>
        <w:t>Enfoque centrado en el trauma</w:t>
      </w:r>
    </w:p>
    <w:p w14:paraId="6E108B6F" w14:textId="199DFE63"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Cuando hablamos de</w:t>
      </w:r>
      <w:r w:rsidR="00A14EC9" w:rsidRPr="00F21E8E">
        <w:rPr>
          <w:rFonts w:ascii="Rockwell" w:hAnsi="Rockwell"/>
        </w:rPr>
        <w:t xml:space="preserve"> </w:t>
      </w:r>
      <w:r w:rsidRPr="00F21E8E">
        <w:rPr>
          <w:rFonts w:ascii="Rockwell" w:hAnsi="Rockwell"/>
        </w:rPr>
        <w:t>violencia interpersonal y del delito de trata de personas,</w:t>
      </w:r>
      <w:r w:rsidR="00A14EC9" w:rsidRPr="00F21E8E">
        <w:rPr>
          <w:rFonts w:ascii="Rockwell" w:hAnsi="Rockwell"/>
        </w:rPr>
        <w:t xml:space="preserve"> </w:t>
      </w:r>
      <w:r w:rsidRPr="00F21E8E">
        <w:rPr>
          <w:rFonts w:ascii="Rockwell" w:hAnsi="Rockwell"/>
        </w:rPr>
        <w:t>es fundamental no solo tener en cuenta las necesidades y derechos de</w:t>
      </w:r>
      <w:r w:rsidR="00B10290" w:rsidRPr="00F21E8E">
        <w:rPr>
          <w:rFonts w:ascii="Rockwell" w:hAnsi="Rockwell"/>
        </w:rPr>
        <w:t xml:space="preserve"> </w:t>
      </w:r>
      <w:r w:rsidRPr="00F21E8E">
        <w:rPr>
          <w:rFonts w:ascii="Rockwell" w:hAnsi="Rockwell"/>
        </w:rPr>
        <w:t>las víctimas, sino la presencia del trauma y sus efectos</w:t>
      </w:r>
      <w:r w:rsidR="00B10290" w:rsidRPr="00F21E8E">
        <w:rPr>
          <w:rFonts w:ascii="Rockwell" w:hAnsi="Rockwell"/>
        </w:rPr>
        <w:t xml:space="preserve"> </w:t>
      </w:r>
      <w:r w:rsidRPr="00F21E8E">
        <w:rPr>
          <w:rFonts w:ascii="Rockwell" w:hAnsi="Rockwell"/>
        </w:rPr>
        <w:t xml:space="preserve">en la persona. El </w:t>
      </w:r>
      <w:bookmarkStart w:id="10" w:name="_Hlk177366413"/>
      <w:r w:rsidRPr="00F21E8E">
        <w:rPr>
          <w:rFonts w:ascii="Rockwell" w:hAnsi="Rockwell"/>
        </w:rPr>
        <w:t xml:space="preserve">enfoque centrado en el trauma </w:t>
      </w:r>
      <w:bookmarkEnd w:id="10"/>
      <w:r w:rsidRPr="00F21E8E">
        <w:rPr>
          <w:rFonts w:ascii="Rockwell" w:hAnsi="Rockwell"/>
        </w:rPr>
        <w:t>forma parte</w:t>
      </w:r>
      <w:r w:rsidR="00B10290" w:rsidRPr="00F21E8E">
        <w:rPr>
          <w:rFonts w:ascii="Rockwell" w:hAnsi="Rockwell"/>
        </w:rPr>
        <w:t xml:space="preserve"> </w:t>
      </w:r>
      <w:r w:rsidRPr="00F21E8E">
        <w:rPr>
          <w:rFonts w:ascii="Rockwell" w:hAnsi="Rockwell"/>
        </w:rPr>
        <w:t xml:space="preserve">del enfoque </w:t>
      </w:r>
      <w:r w:rsidR="00B10290" w:rsidRPr="00F21E8E">
        <w:rPr>
          <w:rFonts w:ascii="Rockwell" w:hAnsi="Rockwell"/>
        </w:rPr>
        <w:t xml:space="preserve">centrado en la </w:t>
      </w:r>
      <w:r w:rsidRPr="00F21E8E">
        <w:rPr>
          <w:rFonts w:ascii="Rockwell" w:hAnsi="Rockwell"/>
        </w:rPr>
        <w:t>v</w:t>
      </w:r>
      <w:r w:rsidR="00B10290" w:rsidRPr="00F21E8E">
        <w:rPr>
          <w:rFonts w:ascii="Rockwell" w:hAnsi="Rockwell"/>
        </w:rPr>
        <w:t>í</w:t>
      </w:r>
      <w:r w:rsidRPr="00F21E8E">
        <w:rPr>
          <w:rFonts w:ascii="Rockwell" w:hAnsi="Rockwell"/>
        </w:rPr>
        <w:t>ctim</w:t>
      </w:r>
      <w:r w:rsidR="00B10290" w:rsidRPr="00F21E8E">
        <w:rPr>
          <w:rFonts w:ascii="Rockwell" w:hAnsi="Rockwell"/>
        </w:rPr>
        <w:t>a</w:t>
      </w:r>
      <w:r w:rsidRPr="00F21E8E">
        <w:rPr>
          <w:rFonts w:ascii="Rockwell" w:hAnsi="Rockwell"/>
        </w:rPr>
        <w:t xml:space="preserve"> y busca utilizar las fortalezas sociales,</w:t>
      </w:r>
      <w:r w:rsidR="00B10290" w:rsidRPr="00F21E8E">
        <w:rPr>
          <w:rFonts w:ascii="Rockwell" w:hAnsi="Rockwell"/>
        </w:rPr>
        <w:t xml:space="preserve"> </w:t>
      </w:r>
      <w:r w:rsidRPr="00F21E8E">
        <w:rPr>
          <w:rFonts w:ascii="Rockwell" w:hAnsi="Rockwell"/>
        </w:rPr>
        <w:t>emocionales y cognitivas de la persona afectada para permitirle</w:t>
      </w:r>
      <w:r w:rsidR="00B10290" w:rsidRPr="00F21E8E">
        <w:rPr>
          <w:rFonts w:ascii="Rockwell" w:hAnsi="Rockwell"/>
        </w:rPr>
        <w:t xml:space="preserve"> </w:t>
      </w:r>
      <w:r w:rsidRPr="00F21E8E">
        <w:rPr>
          <w:rFonts w:ascii="Rockwell" w:hAnsi="Rockwell"/>
        </w:rPr>
        <w:t>reaccionar y responder al impacto y secuelas que le ha generado</w:t>
      </w:r>
      <w:r w:rsidR="00B10290" w:rsidRPr="00F21E8E">
        <w:rPr>
          <w:rFonts w:ascii="Rockwell" w:hAnsi="Rockwell"/>
        </w:rPr>
        <w:t xml:space="preserve"> </w:t>
      </w:r>
      <w:r w:rsidRPr="00F21E8E">
        <w:rPr>
          <w:rFonts w:ascii="Rockwell" w:hAnsi="Rockwell"/>
        </w:rPr>
        <w:t>el trauma.</w:t>
      </w:r>
    </w:p>
    <w:p w14:paraId="3C4DBCA9" w14:textId="7A8E0F34" w:rsidR="00B10290" w:rsidRPr="00F21E8E" w:rsidRDefault="00B10290" w:rsidP="00B973CC">
      <w:pPr>
        <w:spacing w:before="120" w:after="0" w:line="240" w:lineRule="auto"/>
        <w:ind w:firstLine="170"/>
        <w:jc w:val="both"/>
        <w:rPr>
          <w:rFonts w:ascii="Rockwell" w:hAnsi="Rockwell"/>
        </w:rPr>
      </w:pPr>
      <w:r w:rsidRPr="00F21E8E">
        <w:rPr>
          <w:rFonts w:ascii="Rockwell" w:hAnsi="Rockwell"/>
        </w:rPr>
        <w:t>E</w:t>
      </w:r>
      <w:r w:rsidR="00B22305" w:rsidRPr="00F21E8E">
        <w:rPr>
          <w:rFonts w:ascii="Rockwell" w:hAnsi="Rockwell"/>
        </w:rPr>
        <w:t>l enfoque centrado en la víctima está</w:t>
      </w:r>
      <w:r w:rsidRPr="00F21E8E">
        <w:rPr>
          <w:rFonts w:ascii="Rockwell" w:hAnsi="Rockwell"/>
        </w:rPr>
        <w:t xml:space="preserve"> </w:t>
      </w:r>
      <w:r w:rsidR="00B22305" w:rsidRPr="00F21E8E">
        <w:rPr>
          <w:rFonts w:ascii="Rockwell" w:hAnsi="Rockwell"/>
        </w:rPr>
        <w:t>conformado por l</w:t>
      </w:r>
      <w:r w:rsidRPr="00F21E8E">
        <w:rPr>
          <w:rFonts w:ascii="Rockwell" w:hAnsi="Rockwell"/>
        </w:rPr>
        <w:t>a</w:t>
      </w:r>
      <w:r w:rsidR="00B22305" w:rsidRPr="00F21E8E">
        <w:rPr>
          <w:rFonts w:ascii="Rockwell" w:hAnsi="Rockwell"/>
        </w:rPr>
        <w:t xml:space="preserve">s siguientes </w:t>
      </w:r>
      <w:r w:rsidRPr="00F21E8E">
        <w:rPr>
          <w:rFonts w:ascii="Rockwell" w:hAnsi="Rockwell"/>
        </w:rPr>
        <w:t>condicion</w:t>
      </w:r>
      <w:r w:rsidR="00B22305" w:rsidRPr="00F21E8E">
        <w:rPr>
          <w:rFonts w:ascii="Rockwell" w:hAnsi="Rockwell"/>
        </w:rPr>
        <w:t xml:space="preserve">es: </w:t>
      </w:r>
    </w:p>
    <w:p w14:paraId="74B8E6DD" w14:textId="7C434DEE" w:rsidR="00B10290" w:rsidRPr="00F21E8E" w:rsidRDefault="00B10290" w:rsidP="00B973CC">
      <w:pPr>
        <w:pStyle w:val="Prrafodelista"/>
        <w:numPr>
          <w:ilvl w:val="0"/>
          <w:numId w:val="5"/>
        </w:numPr>
        <w:spacing w:before="120" w:after="0" w:line="240" w:lineRule="auto"/>
        <w:ind w:left="884" w:hanging="357"/>
        <w:contextualSpacing w:val="0"/>
        <w:jc w:val="both"/>
        <w:rPr>
          <w:rFonts w:ascii="Rockwell" w:hAnsi="Rockwell"/>
          <w:i/>
          <w:iCs/>
        </w:rPr>
      </w:pPr>
      <w:r w:rsidRPr="00F21E8E">
        <w:rPr>
          <w:rFonts w:ascii="Rockwell" w:hAnsi="Rockwell"/>
          <w:i/>
          <w:iCs/>
        </w:rPr>
        <w:t>P</w:t>
      </w:r>
      <w:r w:rsidR="00B22305" w:rsidRPr="00F21E8E">
        <w:rPr>
          <w:rFonts w:ascii="Rockwell" w:hAnsi="Rockwell"/>
          <w:i/>
          <w:iCs/>
        </w:rPr>
        <w:t>riorización de las</w:t>
      </w:r>
      <w:r w:rsidRPr="00F21E8E">
        <w:rPr>
          <w:rFonts w:ascii="Rockwell" w:hAnsi="Rockwell"/>
          <w:i/>
          <w:iCs/>
        </w:rPr>
        <w:t xml:space="preserve"> </w:t>
      </w:r>
      <w:r w:rsidR="00B22305" w:rsidRPr="00F21E8E">
        <w:rPr>
          <w:rFonts w:ascii="Rockwell" w:hAnsi="Rockwell"/>
          <w:i/>
          <w:iCs/>
        </w:rPr>
        <w:t xml:space="preserve">necesidades y preocupaciones de las víctimas; </w:t>
      </w:r>
    </w:p>
    <w:p w14:paraId="5586ACE8" w14:textId="6A7E0E88" w:rsidR="00B10290" w:rsidRPr="00F21E8E" w:rsidRDefault="00B10290" w:rsidP="00B973CC">
      <w:pPr>
        <w:pStyle w:val="Prrafodelista"/>
        <w:numPr>
          <w:ilvl w:val="0"/>
          <w:numId w:val="5"/>
        </w:numPr>
        <w:spacing w:before="120" w:after="0" w:line="240" w:lineRule="auto"/>
        <w:ind w:left="884" w:hanging="357"/>
        <w:contextualSpacing w:val="0"/>
        <w:jc w:val="both"/>
        <w:rPr>
          <w:rFonts w:ascii="Rockwell" w:hAnsi="Rockwell"/>
          <w:i/>
          <w:iCs/>
        </w:rPr>
      </w:pPr>
      <w:r w:rsidRPr="00F21E8E">
        <w:rPr>
          <w:rFonts w:ascii="Rockwell" w:hAnsi="Rockwell"/>
          <w:i/>
          <w:iCs/>
        </w:rPr>
        <w:t>N</w:t>
      </w:r>
      <w:r w:rsidR="00B22305" w:rsidRPr="00F21E8E">
        <w:rPr>
          <w:rFonts w:ascii="Rockwell" w:hAnsi="Rockwell"/>
          <w:i/>
          <w:iCs/>
        </w:rPr>
        <w:t>o revictimización</w:t>
      </w:r>
      <w:r w:rsidRPr="00F21E8E">
        <w:rPr>
          <w:rFonts w:ascii="Rockwell" w:hAnsi="Rockwell"/>
          <w:i/>
          <w:iCs/>
        </w:rPr>
        <w:t xml:space="preserve"> </w:t>
      </w:r>
      <w:r w:rsidR="00B22305" w:rsidRPr="00F21E8E">
        <w:rPr>
          <w:rFonts w:ascii="Rockwell" w:hAnsi="Rockwell"/>
          <w:i/>
          <w:iCs/>
        </w:rPr>
        <w:t>por parte de los funcionarios públicos, lo que exige actuar con especial</w:t>
      </w:r>
      <w:r w:rsidRPr="00F21E8E">
        <w:rPr>
          <w:rFonts w:ascii="Rockwell" w:hAnsi="Rockwell"/>
          <w:i/>
          <w:iCs/>
        </w:rPr>
        <w:t xml:space="preserve"> </w:t>
      </w:r>
      <w:r w:rsidR="00B22305" w:rsidRPr="00F21E8E">
        <w:rPr>
          <w:rFonts w:ascii="Rockwell" w:hAnsi="Rockwell"/>
          <w:i/>
          <w:iCs/>
        </w:rPr>
        <w:t>cautela y asertividad en el abordaje a las víctimas, considerando sus</w:t>
      </w:r>
      <w:r w:rsidRPr="00F21E8E">
        <w:rPr>
          <w:rFonts w:ascii="Rockwell" w:hAnsi="Rockwell"/>
          <w:i/>
          <w:iCs/>
        </w:rPr>
        <w:t xml:space="preserve"> </w:t>
      </w:r>
      <w:r w:rsidR="00B22305" w:rsidRPr="00F21E8E">
        <w:rPr>
          <w:rFonts w:ascii="Rockwell" w:hAnsi="Rockwell"/>
          <w:i/>
          <w:iCs/>
        </w:rPr>
        <w:t xml:space="preserve">temores, miedos e identidad; </w:t>
      </w:r>
    </w:p>
    <w:p w14:paraId="30DC94B8" w14:textId="58CF5916" w:rsidR="00B10290" w:rsidRPr="00F21E8E" w:rsidRDefault="00B10290" w:rsidP="00B973CC">
      <w:pPr>
        <w:pStyle w:val="Prrafodelista"/>
        <w:numPr>
          <w:ilvl w:val="0"/>
          <w:numId w:val="5"/>
        </w:numPr>
        <w:spacing w:before="120" w:after="0" w:line="240" w:lineRule="auto"/>
        <w:ind w:left="884" w:hanging="357"/>
        <w:contextualSpacing w:val="0"/>
        <w:jc w:val="both"/>
        <w:rPr>
          <w:rFonts w:ascii="Rockwell" w:hAnsi="Rockwell"/>
          <w:i/>
          <w:iCs/>
        </w:rPr>
      </w:pPr>
      <w:r w:rsidRPr="00F21E8E">
        <w:rPr>
          <w:rFonts w:ascii="Rockwell" w:hAnsi="Rockwell"/>
          <w:i/>
          <w:iCs/>
        </w:rPr>
        <w:t>C</w:t>
      </w:r>
      <w:r w:rsidR="00B22305" w:rsidRPr="00F21E8E">
        <w:rPr>
          <w:rFonts w:ascii="Rockwell" w:hAnsi="Rockwell"/>
          <w:i/>
          <w:iCs/>
        </w:rPr>
        <w:t>uidado y protección permanente</w:t>
      </w:r>
      <w:r w:rsidRPr="00F21E8E">
        <w:rPr>
          <w:rFonts w:ascii="Rockwell" w:hAnsi="Rockwell"/>
          <w:i/>
          <w:iCs/>
        </w:rPr>
        <w:t xml:space="preserve"> </w:t>
      </w:r>
      <w:r w:rsidR="00B22305" w:rsidRPr="00F21E8E">
        <w:rPr>
          <w:rFonts w:ascii="Rockwell" w:hAnsi="Rockwell"/>
          <w:i/>
          <w:iCs/>
        </w:rPr>
        <w:t>de las víctimas, de conformidad con el principio de confidencialidad y</w:t>
      </w:r>
      <w:r w:rsidRPr="00F21E8E">
        <w:rPr>
          <w:rFonts w:ascii="Rockwell" w:hAnsi="Rockwell"/>
          <w:i/>
          <w:iCs/>
        </w:rPr>
        <w:t xml:space="preserve"> </w:t>
      </w:r>
      <w:r w:rsidR="00B22305" w:rsidRPr="00F21E8E">
        <w:rPr>
          <w:rFonts w:ascii="Rockwell" w:hAnsi="Rockwell"/>
          <w:i/>
          <w:iCs/>
        </w:rPr>
        <w:t xml:space="preserve">privacidad; </w:t>
      </w:r>
    </w:p>
    <w:p w14:paraId="2F13EA33" w14:textId="6FD2125D" w:rsidR="00B22305" w:rsidRPr="00F21E8E" w:rsidRDefault="00B10290" w:rsidP="00B973CC">
      <w:pPr>
        <w:pStyle w:val="Prrafodelista"/>
        <w:numPr>
          <w:ilvl w:val="0"/>
          <w:numId w:val="5"/>
        </w:numPr>
        <w:spacing w:before="120" w:after="0" w:line="240" w:lineRule="auto"/>
        <w:ind w:left="884" w:hanging="357"/>
        <w:contextualSpacing w:val="0"/>
        <w:jc w:val="both"/>
        <w:rPr>
          <w:rFonts w:ascii="Rockwell" w:hAnsi="Rockwell"/>
          <w:i/>
          <w:iCs/>
        </w:rPr>
      </w:pPr>
      <w:r w:rsidRPr="00F21E8E">
        <w:rPr>
          <w:rFonts w:ascii="Rockwell" w:hAnsi="Rockwell"/>
          <w:i/>
          <w:iCs/>
        </w:rPr>
        <w:lastRenderedPageBreak/>
        <w:t>A</w:t>
      </w:r>
      <w:r w:rsidR="00B22305" w:rsidRPr="00F21E8E">
        <w:rPr>
          <w:rFonts w:ascii="Rockwell" w:hAnsi="Rockwell"/>
          <w:i/>
          <w:iCs/>
        </w:rPr>
        <w:t>cceso a la justicia de víctimas y sus familiares, lo que</w:t>
      </w:r>
      <w:r w:rsidRPr="00F21E8E">
        <w:rPr>
          <w:rFonts w:ascii="Rockwell" w:hAnsi="Rockwell"/>
          <w:i/>
          <w:iCs/>
        </w:rPr>
        <w:t xml:space="preserve"> </w:t>
      </w:r>
      <w:r w:rsidR="00B22305" w:rsidRPr="00F21E8E">
        <w:rPr>
          <w:rFonts w:ascii="Rockwell" w:hAnsi="Rockwell"/>
          <w:i/>
          <w:iCs/>
        </w:rPr>
        <w:t>incluye la reparación conforme a sus necesidades y preocupaciones;</w:t>
      </w:r>
    </w:p>
    <w:p w14:paraId="72BE12E1" w14:textId="26932B71" w:rsidR="00B10290" w:rsidRPr="00F21E8E" w:rsidRDefault="00B10290" w:rsidP="00B973CC">
      <w:pPr>
        <w:pStyle w:val="Prrafodelista"/>
        <w:numPr>
          <w:ilvl w:val="0"/>
          <w:numId w:val="5"/>
        </w:numPr>
        <w:spacing w:before="120" w:after="0" w:line="240" w:lineRule="auto"/>
        <w:ind w:left="884" w:hanging="357"/>
        <w:contextualSpacing w:val="0"/>
        <w:jc w:val="both"/>
        <w:rPr>
          <w:rFonts w:ascii="Rockwell" w:hAnsi="Rockwell"/>
          <w:i/>
          <w:iCs/>
        </w:rPr>
      </w:pPr>
      <w:r w:rsidRPr="00F21E8E">
        <w:rPr>
          <w:rFonts w:ascii="Rockwell" w:hAnsi="Rockwell"/>
          <w:i/>
          <w:iCs/>
        </w:rPr>
        <w:t>E</w:t>
      </w:r>
      <w:r w:rsidR="00B22305" w:rsidRPr="00F21E8E">
        <w:rPr>
          <w:rFonts w:ascii="Rockwell" w:hAnsi="Rockwell"/>
          <w:i/>
          <w:iCs/>
        </w:rPr>
        <w:t>mpoderamiento y promoción de la participación de la víctima</w:t>
      </w:r>
      <w:r w:rsidRPr="00F21E8E">
        <w:rPr>
          <w:rFonts w:ascii="Rockwell" w:hAnsi="Rockwell"/>
          <w:i/>
          <w:iCs/>
        </w:rPr>
        <w:t xml:space="preserve"> </w:t>
      </w:r>
      <w:r w:rsidR="00B22305" w:rsidRPr="00F21E8E">
        <w:rPr>
          <w:rFonts w:ascii="Rockwell" w:hAnsi="Rockwell"/>
          <w:i/>
          <w:iCs/>
        </w:rPr>
        <w:t>en todo el proceso, colocándola en control de su propio destino a</w:t>
      </w:r>
      <w:r w:rsidRPr="00F21E8E">
        <w:rPr>
          <w:rFonts w:ascii="Rockwell" w:hAnsi="Rockwell"/>
          <w:i/>
          <w:iCs/>
        </w:rPr>
        <w:t xml:space="preserve"> </w:t>
      </w:r>
      <w:r w:rsidR="00B22305" w:rsidRPr="00F21E8E">
        <w:rPr>
          <w:rFonts w:ascii="Rockwell" w:hAnsi="Rockwell"/>
          <w:i/>
          <w:iCs/>
        </w:rPr>
        <w:t xml:space="preserve">través del acceso a información veraz y oportuna; </w:t>
      </w:r>
    </w:p>
    <w:p w14:paraId="03FD52A7" w14:textId="49DCD3A5" w:rsidR="00B22305" w:rsidRPr="00F21E8E" w:rsidRDefault="00B10290" w:rsidP="00B973CC">
      <w:pPr>
        <w:pStyle w:val="Prrafodelista"/>
        <w:numPr>
          <w:ilvl w:val="0"/>
          <w:numId w:val="5"/>
        </w:numPr>
        <w:spacing w:before="120" w:after="0" w:line="240" w:lineRule="auto"/>
        <w:ind w:left="884" w:hanging="357"/>
        <w:contextualSpacing w:val="0"/>
        <w:jc w:val="both"/>
        <w:rPr>
          <w:rFonts w:ascii="Rockwell" w:hAnsi="Rockwell"/>
          <w:i/>
          <w:iCs/>
        </w:rPr>
      </w:pPr>
      <w:r w:rsidRPr="00F21E8E">
        <w:rPr>
          <w:rFonts w:ascii="Rockwell" w:hAnsi="Rockwell"/>
          <w:i/>
          <w:iCs/>
        </w:rPr>
        <w:t>R</w:t>
      </w:r>
      <w:r w:rsidR="00B22305" w:rsidRPr="00F21E8E">
        <w:rPr>
          <w:rFonts w:ascii="Rockwell" w:hAnsi="Rockwell"/>
          <w:i/>
          <w:iCs/>
        </w:rPr>
        <w:t>estitución</w:t>
      </w:r>
      <w:r w:rsidRPr="00F21E8E">
        <w:rPr>
          <w:rFonts w:ascii="Rockwell" w:hAnsi="Rockwell"/>
          <w:i/>
          <w:iCs/>
        </w:rPr>
        <w:t xml:space="preserve"> </w:t>
      </w:r>
      <w:r w:rsidR="00B22305" w:rsidRPr="00F21E8E">
        <w:rPr>
          <w:rFonts w:ascii="Rockwell" w:hAnsi="Rockwell"/>
          <w:i/>
          <w:iCs/>
        </w:rPr>
        <w:t>de sus derechos, que incluye el proceso de reintegración a partir de la</w:t>
      </w:r>
      <w:r w:rsidRPr="00F21E8E">
        <w:rPr>
          <w:rFonts w:ascii="Rockwell" w:hAnsi="Rockwell"/>
          <w:i/>
          <w:iCs/>
        </w:rPr>
        <w:t xml:space="preserve"> </w:t>
      </w:r>
      <w:r w:rsidR="00B22305" w:rsidRPr="00F21E8E">
        <w:rPr>
          <w:rFonts w:ascii="Rockwell" w:hAnsi="Rockwell"/>
          <w:i/>
          <w:iCs/>
        </w:rPr>
        <w:t>reinserción educativa y laboral.</w:t>
      </w:r>
    </w:p>
    <w:p w14:paraId="52380241" w14:textId="63C69372"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El enfoque centrado en la víctima</w:t>
      </w:r>
      <w:r w:rsidR="00DD3E1E">
        <w:rPr>
          <w:rFonts w:ascii="Rockwell" w:hAnsi="Rockwell"/>
        </w:rPr>
        <w:t xml:space="preserve"> </w:t>
      </w:r>
      <w:r w:rsidRPr="00F21E8E">
        <w:rPr>
          <w:rFonts w:ascii="Rockwell" w:hAnsi="Rockwell"/>
        </w:rPr>
        <w:t>se complementa</w:t>
      </w:r>
      <w:r w:rsidR="00415CA2" w:rsidRPr="00F21E8E">
        <w:rPr>
          <w:rFonts w:ascii="Rockwell" w:hAnsi="Rockwell"/>
        </w:rPr>
        <w:t xml:space="preserve"> </w:t>
      </w:r>
      <w:r w:rsidRPr="00F21E8E">
        <w:rPr>
          <w:rFonts w:ascii="Rockwell" w:hAnsi="Rockwell"/>
        </w:rPr>
        <w:t>necesariamente con otros enfoques que han de irradiar los</w:t>
      </w:r>
      <w:r w:rsidR="00415CA2" w:rsidRPr="00F21E8E">
        <w:rPr>
          <w:rFonts w:ascii="Rockwell" w:hAnsi="Rockwell"/>
        </w:rPr>
        <w:t xml:space="preserve"> </w:t>
      </w:r>
      <w:r w:rsidRPr="00F21E8E">
        <w:rPr>
          <w:rFonts w:ascii="Rockwell" w:hAnsi="Rockwell"/>
        </w:rPr>
        <w:t>procesos penales en esta materia. El enfoque de</w:t>
      </w:r>
      <w:r w:rsidR="00415CA2" w:rsidRPr="00F21E8E">
        <w:rPr>
          <w:rFonts w:ascii="Rockwell" w:hAnsi="Rockwell"/>
        </w:rPr>
        <w:t xml:space="preserve"> </w:t>
      </w:r>
      <w:r w:rsidRPr="00F21E8E">
        <w:rPr>
          <w:rFonts w:ascii="Rockwell" w:hAnsi="Rockwell"/>
        </w:rPr>
        <w:t xml:space="preserve">derechos humanos gira en torno a garantizar la protección de </w:t>
      </w:r>
      <w:r w:rsidR="00415CA2" w:rsidRPr="00F21E8E">
        <w:rPr>
          <w:rFonts w:ascii="Rockwell" w:hAnsi="Rockwell"/>
        </w:rPr>
        <w:t>é</w:t>
      </w:r>
      <w:r w:rsidRPr="00F21E8E">
        <w:rPr>
          <w:rFonts w:ascii="Rockwell" w:hAnsi="Rockwell"/>
        </w:rPr>
        <w:t>stos</w:t>
      </w:r>
      <w:r w:rsidR="00415CA2" w:rsidRPr="00F21E8E">
        <w:rPr>
          <w:rFonts w:ascii="Rockwell" w:hAnsi="Rockwell"/>
        </w:rPr>
        <w:t xml:space="preserve"> </w:t>
      </w:r>
      <w:r w:rsidRPr="00F21E8E">
        <w:rPr>
          <w:rFonts w:ascii="Rockwell" w:hAnsi="Rockwell"/>
        </w:rPr>
        <w:t>en todas las personas sin discriminación. Al colocar a la víctima en el eje prioritario de las actuaciones que la involucran,</w:t>
      </w:r>
      <w:r w:rsidR="00415CA2" w:rsidRPr="00F21E8E">
        <w:rPr>
          <w:rFonts w:ascii="Rockwell" w:hAnsi="Rockwell"/>
        </w:rPr>
        <w:t xml:space="preserve"> </w:t>
      </w:r>
      <w:r w:rsidRPr="00F21E8E">
        <w:rPr>
          <w:rFonts w:ascii="Rockwell" w:hAnsi="Rockwell"/>
        </w:rPr>
        <w:t>en tanto titular de una serie de derechos humanos que derivan del</w:t>
      </w:r>
      <w:r w:rsidR="00415CA2" w:rsidRPr="00F21E8E">
        <w:rPr>
          <w:rFonts w:ascii="Rockwell" w:hAnsi="Rockwell"/>
        </w:rPr>
        <w:t xml:space="preserve"> </w:t>
      </w:r>
      <w:r w:rsidRPr="00F21E8E">
        <w:rPr>
          <w:rFonts w:ascii="Rockwell" w:hAnsi="Rockwell"/>
        </w:rPr>
        <w:t>reconocimiento de su dignidad, se reconoce que recae sobre el</w:t>
      </w:r>
      <w:r w:rsidR="00415CA2" w:rsidRPr="00F21E8E">
        <w:rPr>
          <w:rFonts w:ascii="Rockwell" w:hAnsi="Rockwell"/>
        </w:rPr>
        <w:t xml:space="preserve"> </w:t>
      </w:r>
      <w:r w:rsidRPr="00F21E8E">
        <w:rPr>
          <w:rFonts w:ascii="Rockwell" w:hAnsi="Rockwell"/>
        </w:rPr>
        <w:t>Estado la responsabilidad de salvaguardarlos. Es decir, el enfoque</w:t>
      </w:r>
      <w:r w:rsidR="00415CA2" w:rsidRPr="00F21E8E">
        <w:rPr>
          <w:rFonts w:ascii="Rockwell" w:hAnsi="Rockwell"/>
        </w:rPr>
        <w:t xml:space="preserve"> </w:t>
      </w:r>
      <w:r w:rsidRPr="00F21E8E">
        <w:rPr>
          <w:rFonts w:ascii="Rockwell" w:hAnsi="Rockwell"/>
        </w:rPr>
        <w:t>centrado en las víctimas dialoga con el enfoque de</w:t>
      </w:r>
      <w:r w:rsidR="00415CA2" w:rsidRPr="00F21E8E">
        <w:rPr>
          <w:rFonts w:ascii="Rockwell" w:hAnsi="Rockwell"/>
        </w:rPr>
        <w:t xml:space="preserve"> </w:t>
      </w:r>
      <w:r w:rsidRPr="00F21E8E">
        <w:rPr>
          <w:rFonts w:ascii="Rockwell" w:hAnsi="Rockwell"/>
        </w:rPr>
        <w:t>derechos humanos en tanto obliga a los funcionarios que representan</w:t>
      </w:r>
      <w:r w:rsidR="00415CA2" w:rsidRPr="00F21E8E">
        <w:rPr>
          <w:rFonts w:ascii="Rockwell" w:hAnsi="Rockwell"/>
        </w:rPr>
        <w:t xml:space="preserve"> </w:t>
      </w:r>
      <w:r w:rsidRPr="00F21E8E">
        <w:rPr>
          <w:rFonts w:ascii="Rockwell" w:hAnsi="Rockwell"/>
        </w:rPr>
        <w:t>al Estado a respetar, proteger y garantizar un conjunto de derechos</w:t>
      </w:r>
      <w:r w:rsidR="00415CA2" w:rsidRPr="00F21E8E">
        <w:rPr>
          <w:rFonts w:ascii="Rockwell" w:hAnsi="Rockwell"/>
        </w:rPr>
        <w:t xml:space="preserve"> </w:t>
      </w:r>
      <w:r w:rsidRPr="00F21E8E">
        <w:rPr>
          <w:rFonts w:ascii="Rockwell" w:hAnsi="Rockwell"/>
        </w:rPr>
        <w:t xml:space="preserve">humanos </w:t>
      </w:r>
      <w:r w:rsidR="00097E00" w:rsidRPr="00F21E8E">
        <w:rPr>
          <w:rFonts w:ascii="Rockwell" w:hAnsi="Rockwell"/>
        </w:rPr>
        <w:t>indivisible</w:t>
      </w:r>
      <w:r w:rsidR="00097E00">
        <w:rPr>
          <w:rFonts w:ascii="Rockwell" w:hAnsi="Rockwell"/>
        </w:rPr>
        <w:t>s</w:t>
      </w:r>
      <w:r w:rsidRPr="00F21E8E">
        <w:rPr>
          <w:rFonts w:ascii="Rockwell" w:hAnsi="Rockwell"/>
        </w:rPr>
        <w:t>, interdependientes e interrelacionados de las</w:t>
      </w:r>
      <w:r w:rsidR="00415CA2" w:rsidRPr="00F21E8E">
        <w:rPr>
          <w:rFonts w:ascii="Rockwell" w:hAnsi="Rockwell"/>
        </w:rPr>
        <w:t xml:space="preserve"> </w:t>
      </w:r>
      <w:r w:rsidRPr="00F21E8E">
        <w:rPr>
          <w:rFonts w:ascii="Rockwell" w:hAnsi="Rockwell"/>
        </w:rPr>
        <w:t>víctimas a lo largo del proceso penal, y a erradicar acciones que</w:t>
      </w:r>
      <w:r w:rsidR="00415CA2" w:rsidRPr="00F21E8E">
        <w:rPr>
          <w:rFonts w:ascii="Rockwell" w:hAnsi="Rockwell"/>
        </w:rPr>
        <w:t xml:space="preserve"> </w:t>
      </w:r>
      <w:r w:rsidRPr="00F21E8E">
        <w:rPr>
          <w:rFonts w:ascii="Rockwell" w:hAnsi="Rockwell"/>
        </w:rPr>
        <w:t>puedan socavar la dignidad humana y representar alguna forma de</w:t>
      </w:r>
      <w:r w:rsidR="00415CA2" w:rsidRPr="00F21E8E">
        <w:rPr>
          <w:rFonts w:ascii="Rockwell" w:hAnsi="Rockwell"/>
        </w:rPr>
        <w:t xml:space="preserve"> </w:t>
      </w:r>
      <w:r w:rsidRPr="00F21E8E">
        <w:rPr>
          <w:rFonts w:ascii="Rockwell" w:hAnsi="Rockwell"/>
        </w:rPr>
        <w:t>discriminación, particularmente contra grupos en especial situación</w:t>
      </w:r>
      <w:r w:rsidR="00415CA2" w:rsidRPr="00F21E8E">
        <w:rPr>
          <w:rFonts w:ascii="Rockwell" w:hAnsi="Rockwell"/>
        </w:rPr>
        <w:t xml:space="preserve"> </w:t>
      </w:r>
      <w:r w:rsidRPr="00F21E8E">
        <w:rPr>
          <w:rFonts w:ascii="Rockwell" w:hAnsi="Rockwell"/>
        </w:rPr>
        <w:t>de vulnerabilidad.</w:t>
      </w:r>
    </w:p>
    <w:p w14:paraId="2A5BF017" w14:textId="408ACFCF" w:rsidR="00B22305" w:rsidRPr="00F21E8E" w:rsidRDefault="00C42832" w:rsidP="00B973CC">
      <w:pPr>
        <w:spacing w:before="120" w:after="0" w:line="240" w:lineRule="auto"/>
        <w:ind w:firstLine="170"/>
        <w:jc w:val="both"/>
        <w:rPr>
          <w:rFonts w:ascii="Rockwell" w:hAnsi="Rockwell"/>
        </w:rPr>
      </w:pPr>
      <w:r>
        <w:rPr>
          <w:rFonts w:ascii="Rockwell" w:hAnsi="Rockwell"/>
          <w:noProof/>
        </w:rPr>
        <w:drawing>
          <wp:anchor distT="0" distB="0" distL="114300" distR="114300" simplePos="0" relativeHeight="251668480" behindDoc="0" locked="0" layoutInCell="1" allowOverlap="1" wp14:anchorId="547D1E49" wp14:editId="60175C14">
            <wp:simplePos x="0" y="0"/>
            <wp:positionH relativeFrom="margin">
              <wp:posOffset>2045335</wp:posOffset>
            </wp:positionH>
            <wp:positionV relativeFrom="paragraph">
              <wp:posOffset>807720</wp:posOffset>
            </wp:positionV>
            <wp:extent cx="4057650" cy="2705100"/>
            <wp:effectExtent l="0" t="0" r="0" b="0"/>
            <wp:wrapSquare wrapText="bothSides"/>
            <wp:docPr id="129763305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57650" cy="2705100"/>
                    </a:xfrm>
                    <a:prstGeom prst="rect">
                      <a:avLst/>
                    </a:prstGeom>
                    <a:noFill/>
                  </pic:spPr>
                </pic:pic>
              </a:graphicData>
            </a:graphic>
            <wp14:sizeRelH relativeFrom="page">
              <wp14:pctWidth>0</wp14:pctWidth>
            </wp14:sizeRelH>
            <wp14:sizeRelV relativeFrom="page">
              <wp14:pctHeight>0</wp14:pctHeight>
            </wp14:sizeRelV>
          </wp:anchor>
        </w:drawing>
      </w:r>
      <w:r w:rsidR="00B22305" w:rsidRPr="00F21E8E">
        <w:rPr>
          <w:rFonts w:ascii="Rockwell" w:hAnsi="Rockwell"/>
        </w:rPr>
        <w:t xml:space="preserve">En su informe al Consejo de Derechos Humanos en el 2020, la </w:t>
      </w:r>
      <w:r w:rsidR="003D5E02" w:rsidRPr="00F21E8E">
        <w:rPr>
          <w:rFonts w:ascii="Rockwell" w:hAnsi="Rockwell"/>
        </w:rPr>
        <w:t xml:space="preserve">colega </w:t>
      </w:r>
      <w:r w:rsidR="001E36D8">
        <w:rPr>
          <w:rFonts w:ascii="Rockwell" w:hAnsi="Rockwell"/>
        </w:rPr>
        <w:t>italiana</w:t>
      </w:r>
      <w:r w:rsidR="003D5E02" w:rsidRPr="00F21E8E">
        <w:rPr>
          <w:rFonts w:ascii="Rockwell" w:hAnsi="Rockwell"/>
        </w:rPr>
        <w:t xml:space="preserve"> </w:t>
      </w:r>
      <w:bookmarkStart w:id="11" w:name="_Hlk177485157"/>
      <w:r w:rsidR="003D5E02" w:rsidRPr="00B31F68">
        <w:rPr>
          <w:rFonts w:ascii="Rockwell" w:hAnsi="Rockwell"/>
          <w:b/>
          <w:bCs/>
        </w:rPr>
        <w:t>María Giammarinaro</w:t>
      </w:r>
      <w:r w:rsidR="003D5E02" w:rsidRPr="00C02A9D">
        <w:rPr>
          <w:rFonts w:ascii="Rockwell" w:hAnsi="Rockwell"/>
        </w:rPr>
        <w:t xml:space="preserve"> </w:t>
      </w:r>
      <w:bookmarkEnd w:id="11"/>
      <w:r w:rsidR="007A0F44" w:rsidRPr="00F21E8E">
        <w:rPr>
          <w:rFonts w:ascii="Rockwell" w:hAnsi="Rockwell"/>
        </w:rPr>
        <w:t>r</w:t>
      </w:r>
      <w:r w:rsidR="00B22305" w:rsidRPr="00F21E8E">
        <w:rPr>
          <w:rFonts w:ascii="Rockwell" w:hAnsi="Rockwell"/>
        </w:rPr>
        <w:t>elatora</w:t>
      </w:r>
      <w:r w:rsidR="00415CA2" w:rsidRPr="00F21E8E">
        <w:rPr>
          <w:rFonts w:ascii="Rockwell" w:hAnsi="Rockwell"/>
        </w:rPr>
        <w:t xml:space="preserve"> </w:t>
      </w:r>
      <w:r w:rsidR="007A0F44" w:rsidRPr="00F21E8E">
        <w:rPr>
          <w:rFonts w:ascii="Rockwell" w:hAnsi="Rockwell"/>
        </w:rPr>
        <w:t>e</w:t>
      </w:r>
      <w:r w:rsidR="00B22305" w:rsidRPr="00F21E8E">
        <w:rPr>
          <w:rFonts w:ascii="Rockwell" w:hAnsi="Rockwell"/>
        </w:rPr>
        <w:t xml:space="preserve">special sobre la trata de personas, especialmente </w:t>
      </w:r>
      <w:r w:rsidR="003D5E02" w:rsidRPr="00F21E8E">
        <w:rPr>
          <w:rFonts w:ascii="Rockwell" w:hAnsi="Rockwell"/>
        </w:rPr>
        <w:t xml:space="preserve">de </w:t>
      </w:r>
      <w:r w:rsidR="00B22305" w:rsidRPr="00F21E8E">
        <w:rPr>
          <w:rFonts w:ascii="Rockwell" w:hAnsi="Rockwell"/>
        </w:rPr>
        <w:t>mujeres y niños, hizo un llamado a los</w:t>
      </w:r>
      <w:r w:rsidR="00415CA2" w:rsidRPr="00F21E8E">
        <w:rPr>
          <w:rFonts w:ascii="Rockwell" w:hAnsi="Rockwell"/>
        </w:rPr>
        <w:t xml:space="preserve"> </w:t>
      </w:r>
      <w:r w:rsidR="00B22305" w:rsidRPr="00F21E8E">
        <w:rPr>
          <w:rFonts w:ascii="Rockwell" w:hAnsi="Rockwell"/>
        </w:rPr>
        <w:t xml:space="preserve">Estados </w:t>
      </w:r>
      <w:r w:rsidR="003D5E02" w:rsidRPr="00F21E8E">
        <w:rPr>
          <w:rFonts w:ascii="Rockwell" w:hAnsi="Rockwell"/>
        </w:rPr>
        <w:t>a abordar un</w:t>
      </w:r>
      <w:r w:rsidR="00B22305" w:rsidRPr="00F21E8E">
        <w:rPr>
          <w:rFonts w:ascii="Rockwell" w:hAnsi="Rockwell"/>
        </w:rPr>
        <w:t xml:space="preserve"> enfoque centrado en los derechos humanos y en las víctimas.</w:t>
      </w:r>
      <w:r w:rsidR="006719D5">
        <w:rPr>
          <w:rFonts w:ascii="Rockwell" w:hAnsi="Rockwell"/>
        </w:rPr>
        <w:t xml:space="preserve"> </w:t>
      </w:r>
      <w:r w:rsidR="00B22305" w:rsidRPr="00F21E8E">
        <w:rPr>
          <w:rFonts w:ascii="Rockwell" w:hAnsi="Rockwell"/>
        </w:rPr>
        <w:t>Sostuvo que el modelo de lucha contra la trata propuesto por el</w:t>
      </w:r>
      <w:r w:rsidR="00415CA2" w:rsidRPr="00F21E8E">
        <w:rPr>
          <w:rFonts w:ascii="Rockwell" w:hAnsi="Rockwell"/>
        </w:rPr>
        <w:t xml:space="preserve"> </w:t>
      </w:r>
      <w:r w:rsidR="00B22305" w:rsidRPr="00F21E8E">
        <w:rPr>
          <w:rFonts w:ascii="Rockwell" w:hAnsi="Rockwell"/>
        </w:rPr>
        <w:t xml:space="preserve">Protocolo para </w:t>
      </w:r>
      <w:r w:rsidR="00415CA2" w:rsidRPr="00F21E8E">
        <w:rPr>
          <w:rFonts w:ascii="Rockwell" w:hAnsi="Rockwell"/>
        </w:rPr>
        <w:t xml:space="preserve">prevenir, reprimir y sancionar la trata de personas, </w:t>
      </w:r>
      <w:r w:rsidR="00B22305" w:rsidRPr="00F21E8E">
        <w:rPr>
          <w:rFonts w:ascii="Rockwell" w:hAnsi="Rockwell"/>
        </w:rPr>
        <w:t>especialmente mujeres y niños, que complementa la Convención de</w:t>
      </w:r>
      <w:r w:rsidR="00415CA2" w:rsidRPr="00F21E8E">
        <w:rPr>
          <w:rFonts w:ascii="Rockwell" w:hAnsi="Rockwell"/>
        </w:rPr>
        <w:t xml:space="preserve"> </w:t>
      </w:r>
      <w:r w:rsidR="00B22305" w:rsidRPr="00F21E8E">
        <w:rPr>
          <w:rFonts w:ascii="Rockwell" w:hAnsi="Rockwell"/>
        </w:rPr>
        <w:t xml:space="preserve">las Naciones Unidas contra la </w:t>
      </w:r>
      <w:r w:rsidR="00415CA2" w:rsidRPr="00F21E8E">
        <w:rPr>
          <w:rFonts w:ascii="Rockwell" w:hAnsi="Rockwell"/>
        </w:rPr>
        <w:t>delincuencia organizada trasna</w:t>
      </w:r>
      <w:r w:rsidR="00B22305" w:rsidRPr="00F21E8E">
        <w:rPr>
          <w:rFonts w:ascii="Rockwell" w:hAnsi="Rockwell"/>
        </w:rPr>
        <w:t>cional</w:t>
      </w:r>
      <w:r w:rsidR="00415CA2" w:rsidRPr="00F21E8E">
        <w:rPr>
          <w:rFonts w:ascii="Rockwell" w:hAnsi="Rockwell"/>
        </w:rPr>
        <w:t xml:space="preserve"> o </w:t>
      </w:r>
      <w:r w:rsidR="00B22305" w:rsidRPr="00F21E8E">
        <w:rPr>
          <w:rFonts w:ascii="Rockwell" w:hAnsi="Rockwell"/>
          <w:b/>
          <w:bCs/>
        </w:rPr>
        <w:t>Protocolo de Palermo</w:t>
      </w:r>
      <w:r w:rsidR="00D67A78">
        <w:rPr>
          <w:rStyle w:val="Refdenotaalpie"/>
          <w:rFonts w:ascii="Rockwell" w:hAnsi="Rockwell"/>
          <w:b/>
          <w:bCs/>
        </w:rPr>
        <w:footnoteReference w:id="4"/>
      </w:r>
      <w:r w:rsidR="00B22305" w:rsidRPr="00F21E8E">
        <w:rPr>
          <w:rFonts w:ascii="Rockwell" w:hAnsi="Rockwell"/>
          <w:b/>
          <w:bCs/>
        </w:rPr>
        <w:t>,</w:t>
      </w:r>
      <w:r w:rsidR="00B22305" w:rsidRPr="00F21E8E">
        <w:rPr>
          <w:rFonts w:ascii="Rockwell" w:hAnsi="Rockwell"/>
        </w:rPr>
        <w:t xml:space="preserve"> se centró en las redes delictivas</w:t>
      </w:r>
      <w:r w:rsidR="00415CA2" w:rsidRPr="00F21E8E">
        <w:rPr>
          <w:rFonts w:ascii="Rockwell" w:hAnsi="Rockwell"/>
        </w:rPr>
        <w:t xml:space="preserve"> </w:t>
      </w:r>
      <w:r w:rsidR="00B22305" w:rsidRPr="00F21E8E">
        <w:rPr>
          <w:rFonts w:ascii="Rockwell" w:hAnsi="Rockwell"/>
        </w:rPr>
        <w:t>internacionales y en el control de la migración, más que en el carácter</w:t>
      </w:r>
      <w:r w:rsidR="00415CA2" w:rsidRPr="00F21E8E">
        <w:rPr>
          <w:rFonts w:ascii="Rockwell" w:hAnsi="Rockwell"/>
        </w:rPr>
        <w:t xml:space="preserve"> </w:t>
      </w:r>
      <w:r w:rsidR="00B22305" w:rsidRPr="00F21E8E">
        <w:rPr>
          <w:rFonts w:ascii="Rockwell" w:hAnsi="Rockwell"/>
        </w:rPr>
        <w:t>sistémico de la explotación y prestó poca atención a la dimensión de</w:t>
      </w:r>
      <w:r w:rsidR="00415CA2" w:rsidRPr="00F21E8E">
        <w:rPr>
          <w:rFonts w:ascii="Rockwell" w:hAnsi="Rockwell"/>
        </w:rPr>
        <w:t xml:space="preserve"> </w:t>
      </w:r>
      <w:r w:rsidR="00B22305" w:rsidRPr="00F21E8E">
        <w:rPr>
          <w:rFonts w:ascii="Rockwell" w:hAnsi="Rockwell"/>
        </w:rPr>
        <w:t>los derechos humanos de las víctimas de la trata.</w:t>
      </w:r>
    </w:p>
    <w:p w14:paraId="01F6D7AD" w14:textId="49EBBD13" w:rsidR="00B22305" w:rsidRDefault="00B22305" w:rsidP="00B973CC">
      <w:pPr>
        <w:spacing w:before="120" w:after="0" w:line="240" w:lineRule="auto"/>
        <w:ind w:firstLine="170"/>
        <w:jc w:val="both"/>
        <w:rPr>
          <w:rFonts w:ascii="Rockwell" w:hAnsi="Rockwell"/>
          <w:i/>
          <w:iCs/>
        </w:rPr>
      </w:pPr>
      <w:r w:rsidRPr="00F21E8E">
        <w:rPr>
          <w:rFonts w:ascii="Rockwell" w:hAnsi="Rockwell"/>
        </w:rPr>
        <w:t>La falta de disposiciones vinculantes en el artículo 6 sobre asistencia y protección de las víctimas, que ha sido</w:t>
      </w:r>
      <w:r w:rsidR="00415CA2" w:rsidRPr="00F21E8E">
        <w:rPr>
          <w:rFonts w:ascii="Rockwell" w:hAnsi="Rockwell"/>
        </w:rPr>
        <w:t xml:space="preserve"> </w:t>
      </w:r>
      <w:r w:rsidRPr="00F21E8E">
        <w:rPr>
          <w:rFonts w:ascii="Rockwell" w:hAnsi="Rockwell"/>
        </w:rPr>
        <w:t>el menos implementado por los Estados Parte, así lo demuestra.</w:t>
      </w:r>
      <w:r w:rsidR="00E40FFC" w:rsidRPr="00F21E8E">
        <w:rPr>
          <w:rFonts w:ascii="Rockwell" w:hAnsi="Rockwell"/>
        </w:rPr>
        <w:t xml:space="preserve"> </w:t>
      </w:r>
      <w:r w:rsidRPr="00F21E8E">
        <w:rPr>
          <w:rFonts w:ascii="Rockwell" w:hAnsi="Rockwell"/>
        </w:rPr>
        <w:t xml:space="preserve">Sin embargo, la </w:t>
      </w:r>
      <w:r w:rsidR="00415CA2" w:rsidRPr="00F21E8E">
        <w:rPr>
          <w:rFonts w:ascii="Rockwell" w:hAnsi="Rockwell"/>
        </w:rPr>
        <w:t>relatora</w:t>
      </w:r>
      <w:r w:rsidRPr="00F21E8E">
        <w:rPr>
          <w:rFonts w:ascii="Rockwell" w:hAnsi="Rockwell"/>
        </w:rPr>
        <w:t xml:space="preserve"> reitera que </w:t>
      </w:r>
      <w:r w:rsidR="00C02A9D" w:rsidRPr="00C02A9D">
        <w:rPr>
          <w:rFonts w:ascii="Rockwell" w:hAnsi="Rockwell"/>
          <w:i/>
          <w:iCs/>
        </w:rPr>
        <w:t>“</w:t>
      </w:r>
      <w:r w:rsidRPr="00C02A9D">
        <w:rPr>
          <w:rFonts w:ascii="Rockwell" w:hAnsi="Rockwell"/>
          <w:i/>
          <w:iCs/>
        </w:rPr>
        <w:t xml:space="preserve">ello no debe ser </w:t>
      </w:r>
      <w:r w:rsidR="00E40FFC" w:rsidRPr="00C02A9D">
        <w:rPr>
          <w:rFonts w:ascii="Rockwell" w:hAnsi="Rockwell"/>
          <w:i/>
          <w:iCs/>
        </w:rPr>
        <w:t>pretexto</w:t>
      </w:r>
      <w:r w:rsidRPr="00C02A9D">
        <w:rPr>
          <w:rFonts w:ascii="Rockwell" w:hAnsi="Rockwell"/>
          <w:i/>
          <w:iCs/>
        </w:rPr>
        <w:t xml:space="preserve"> para que</w:t>
      </w:r>
      <w:r w:rsidR="00415CA2" w:rsidRPr="00C02A9D">
        <w:rPr>
          <w:rFonts w:ascii="Rockwell" w:hAnsi="Rockwell"/>
          <w:i/>
          <w:iCs/>
        </w:rPr>
        <w:t xml:space="preserve"> </w:t>
      </w:r>
      <w:r w:rsidRPr="00C02A9D">
        <w:rPr>
          <w:rFonts w:ascii="Rockwell" w:hAnsi="Rockwell"/>
          <w:i/>
          <w:iCs/>
        </w:rPr>
        <w:t>los Estados no implementen estas políticas, pues es un deber</w:t>
      </w:r>
      <w:r w:rsidR="00415CA2" w:rsidRPr="00C02A9D">
        <w:rPr>
          <w:rFonts w:ascii="Rockwell" w:hAnsi="Rockwell"/>
          <w:i/>
          <w:iCs/>
        </w:rPr>
        <w:t xml:space="preserve"> </w:t>
      </w:r>
      <w:r w:rsidRPr="00C02A9D">
        <w:rPr>
          <w:rFonts w:ascii="Rockwell" w:hAnsi="Rockwell"/>
          <w:i/>
          <w:iCs/>
        </w:rPr>
        <w:t>que deriva de la debida diligencia que les obliga a proteger a las</w:t>
      </w:r>
      <w:r w:rsidR="00415CA2" w:rsidRPr="00C02A9D">
        <w:rPr>
          <w:rFonts w:ascii="Rockwell" w:hAnsi="Rockwell"/>
          <w:i/>
          <w:iCs/>
        </w:rPr>
        <w:t xml:space="preserve"> </w:t>
      </w:r>
      <w:r w:rsidRPr="00C02A9D">
        <w:rPr>
          <w:rFonts w:ascii="Rockwell" w:hAnsi="Rockwell"/>
          <w:i/>
          <w:iCs/>
        </w:rPr>
        <w:t>personas de las vulneraciones a</w:t>
      </w:r>
      <w:r w:rsidRPr="00F21E8E">
        <w:rPr>
          <w:rFonts w:ascii="Rockwell" w:hAnsi="Rockwell"/>
        </w:rPr>
        <w:t xml:space="preserve"> </w:t>
      </w:r>
      <w:r w:rsidRPr="00C02A9D">
        <w:rPr>
          <w:rFonts w:ascii="Rockwell" w:hAnsi="Rockwell"/>
          <w:i/>
          <w:iCs/>
        </w:rPr>
        <w:t>derechos humanos cometidas por</w:t>
      </w:r>
      <w:r w:rsidR="00415CA2" w:rsidRPr="00C02A9D">
        <w:rPr>
          <w:rFonts w:ascii="Rockwell" w:hAnsi="Rockwell"/>
          <w:i/>
          <w:iCs/>
        </w:rPr>
        <w:t xml:space="preserve"> </w:t>
      </w:r>
      <w:r w:rsidRPr="00C02A9D">
        <w:rPr>
          <w:rFonts w:ascii="Rockwell" w:hAnsi="Rockwell"/>
          <w:i/>
          <w:iCs/>
        </w:rPr>
        <w:t>agentes privados. Priorizar los derechos vulnerados</w:t>
      </w:r>
      <w:r w:rsidR="00575F2D" w:rsidRPr="00C02A9D">
        <w:rPr>
          <w:rFonts w:ascii="Rockwell" w:hAnsi="Rockwell"/>
          <w:i/>
          <w:iCs/>
        </w:rPr>
        <w:t xml:space="preserve"> </w:t>
      </w:r>
      <w:r w:rsidRPr="00C02A9D">
        <w:rPr>
          <w:rFonts w:ascii="Rockwell" w:hAnsi="Rockwell"/>
          <w:i/>
          <w:iCs/>
        </w:rPr>
        <w:t>de las víctimas y protegerlas de todo riesgo de</w:t>
      </w:r>
      <w:r w:rsidR="00575F2D" w:rsidRPr="00C02A9D">
        <w:rPr>
          <w:rFonts w:ascii="Rockwell" w:hAnsi="Rockwell"/>
          <w:i/>
          <w:iCs/>
        </w:rPr>
        <w:t xml:space="preserve"> </w:t>
      </w:r>
      <w:r w:rsidRPr="00C02A9D">
        <w:rPr>
          <w:rFonts w:ascii="Rockwell" w:hAnsi="Rockwell"/>
          <w:i/>
          <w:iCs/>
        </w:rPr>
        <w:t>revictimización debe, por tanto, caracterizar toda respuesta</w:t>
      </w:r>
      <w:r w:rsidR="00575F2D" w:rsidRPr="00C02A9D">
        <w:rPr>
          <w:rFonts w:ascii="Rockwell" w:hAnsi="Rockwell"/>
          <w:i/>
          <w:iCs/>
        </w:rPr>
        <w:t xml:space="preserve"> </w:t>
      </w:r>
      <w:r w:rsidRPr="00C02A9D">
        <w:rPr>
          <w:rFonts w:ascii="Rockwell" w:hAnsi="Rockwell"/>
          <w:i/>
          <w:iCs/>
        </w:rPr>
        <w:t>que brinde el Estado, incluido a lo largo del proceso penal</w:t>
      </w:r>
      <w:r w:rsidR="00C02A9D" w:rsidRPr="00C02A9D">
        <w:rPr>
          <w:rFonts w:ascii="Rockwell" w:hAnsi="Rockwell"/>
          <w:i/>
          <w:iCs/>
        </w:rPr>
        <w:t>”</w:t>
      </w:r>
      <w:r w:rsidRPr="00C02A9D">
        <w:rPr>
          <w:rFonts w:ascii="Rockwell" w:hAnsi="Rockwell"/>
          <w:i/>
          <w:iCs/>
        </w:rPr>
        <w:t>.</w:t>
      </w:r>
    </w:p>
    <w:p w14:paraId="0EA93DFF" w14:textId="77777777" w:rsidR="00B31F68" w:rsidRPr="00F21E8E" w:rsidRDefault="00B31F68" w:rsidP="00B973CC">
      <w:pPr>
        <w:spacing w:before="120" w:after="0" w:line="240" w:lineRule="auto"/>
        <w:ind w:firstLine="170"/>
        <w:jc w:val="both"/>
        <w:rPr>
          <w:rFonts w:ascii="Rockwell" w:hAnsi="Rockwell"/>
        </w:rPr>
      </w:pPr>
    </w:p>
    <w:p w14:paraId="2902B4C4" w14:textId="33A9B93C" w:rsidR="00B22305" w:rsidRPr="00F21E8E" w:rsidRDefault="00B22305" w:rsidP="00B973CC">
      <w:pPr>
        <w:spacing w:before="120" w:after="0" w:line="240" w:lineRule="auto"/>
        <w:ind w:firstLine="170"/>
        <w:jc w:val="both"/>
        <w:rPr>
          <w:rFonts w:ascii="Rockwell" w:hAnsi="Rockwell"/>
          <w:b/>
          <w:bCs/>
        </w:rPr>
      </w:pPr>
      <w:r w:rsidRPr="00F21E8E">
        <w:rPr>
          <w:rFonts w:ascii="Rockwell" w:hAnsi="Rockwell"/>
          <w:b/>
          <w:bCs/>
        </w:rPr>
        <w:lastRenderedPageBreak/>
        <w:t>Falta de comprensión de las secuelas del trauma</w:t>
      </w:r>
    </w:p>
    <w:p w14:paraId="293EA193" w14:textId="59A56035"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 xml:space="preserve">Las víctimas son, en su mayoría, mujeres </w:t>
      </w:r>
      <w:r w:rsidR="00EB2929" w:rsidRPr="00F21E8E">
        <w:rPr>
          <w:rFonts w:ascii="Rockwell" w:hAnsi="Rockwell"/>
        </w:rPr>
        <w:t>jóvenes. Estas</w:t>
      </w:r>
      <w:r w:rsidRPr="00F21E8E">
        <w:rPr>
          <w:rFonts w:ascii="Rockwell" w:hAnsi="Rockwell"/>
        </w:rPr>
        <w:t xml:space="preserve"> relatan experiencias profundamente traumáticas que </w:t>
      </w:r>
      <w:r w:rsidR="00EB2929" w:rsidRPr="00F21E8E">
        <w:rPr>
          <w:rFonts w:ascii="Rockwell" w:hAnsi="Rockwell"/>
        </w:rPr>
        <w:t>incluyen episodios</w:t>
      </w:r>
      <w:r w:rsidRPr="00F21E8E">
        <w:rPr>
          <w:rFonts w:ascii="Rockwell" w:hAnsi="Rockwell"/>
        </w:rPr>
        <w:t xml:space="preserve"> de violencia psicológica, física, sexual o económica, a </w:t>
      </w:r>
      <w:r w:rsidR="00EB2929" w:rsidRPr="00F21E8E">
        <w:rPr>
          <w:rFonts w:ascii="Rockwell" w:hAnsi="Rockwell"/>
        </w:rPr>
        <w:t>lo largo</w:t>
      </w:r>
      <w:r w:rsidRPr="00F21E8E">
        <w:rPr>
          <w:rFonts w:ascii="Rockwell" w:hAnsi="Rockwell"/>
        </w:rPr>
        <w:t xml:space="preserve"> de períodos que pueden durar años. Con frecuencia </w:t>
      </w:r>
      <w:r w:rsidR="00EB2929" w:rsidRPr="00F21E8E">
        <w:rPr>
          <w:rFonts w:ascii="Rockwell" w:hAnsi="Rockwell"/>
        </w:rPr>
        <w:t>sufren graves</w:t>
      </w:r>
      <w:r w:rsidRPr="00F21E8E">
        <w:rPr>
          <w:rFonts w:ascii="Rockwell" w:hAnsi="Rockwell"/>
        </w:rPr>
        <w:t xml:space="preserve"> daños como lesiones físicas, trastorno de estrés </w:t>
      </w:r>
      <w:r w:rsidR="00EB2929" w:rsidRPr="00F21E8E">
        <w:rPr>
          <w:rFonts w:ascii="Rockwell" w:hAnsi="Rockwell"/>
        </w:rPr>
        <w:t>postraumático, depresión</w:t>
      </w:r>
      <w:r w:rsidRPr="00F21E8E">
        <w:rPr>
          <w:rFonts w:ascii="Rockwell" w:hAnsi="Rockwell"/>
        </w:rPr>
        <w:t xml:space="preserve"> y otros trastornos mentales o emocionales; enfermedades </w:t>
      </w:r>
      <w:r w:rsidR="00EB2929" w:rsidRPr="00F21E8E">
        <w:rPr>
          <w:rFonts w:ascii="Rockwell" w:hAnsi="Rockwell"/>
        </w:rPr>
        <w:t>de transmisión</w:t>
      </w:r>
      <w:r w:rsidRPr="00F21E8E">
        <w:rPr>
          <w:rFonts w:ascii="Rockwell" w:hAnsi="Rockwell"/>
        </w:rPr>
        <w:t xml:space="preserve"> sexual; abuso de sustancias y </w:t>
      </w:r>
      <w:r w:rsidR="00EB2929" w:rsidRPr="00F21E8E">
        <w:rPr>
          <w:rFonts w:ascii="Rockwell" w:hAnsi="Rockwell"/>
        </w:rPr>
        <w:t>adicción; daño</w:t>
      </w:r>
      <w:r w:rsidRPr="00F21E8E">
        <w:rPr>
          <w:rFonts w:ascii="Rockwell" w:hAnsi="Rockwell"/>
        </w:rPr>
        <w:t xml:space="preserve"> relacional, incluida la ruptura de relaciones con padres, cónyuges </w:t>
      </w:r>
      <w:r w:rsidR="00EB2929" w:rsidRPr="00F21E8E">
        <w:rPr>
          <w:rFonts w:ascii="Rockwell" w:hAnsi="Rockwell"/>
        </w:rPr>
        <w:t>e hijos</w:t>
      </w:r>
      <w:r w:rsidRPr="00F21E8E">
        <w:rPr>
          <w:rFonts w:ascii="Rockwell" w:hAnsi="Rockwell"/>
        </w:rPr>
        <w:t>; y vergüenza, estigmatización y rechazo de su familia y comunidad.</w:t>
      </w:r>
    </w:p>
    <w:p w14:paraId="6F2330BB" w14:textId="24C5CEE1"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 xml:space="preserve">Las complejas secuelas del trauma muchas veces impiden que </w:t>
      </w:r>
      <w:r w:rsidR="00EB2929" w:rsidRPr="00F21E8E">
        <w:rPr>
          <w:rFonts w:ascii="Rockwell" w:hAnsi="Rockwell"/>
        </w:rPr>
        <w:t>las víctimas</w:t>
      </w:r>
      <w:r w:rsidRPr="00F21E8E">
        <w:rPr>
          <w:rFonts w:ascii="Rockwell" w:hAnsi="Rockwell"/>
        </w:rPr>
        <w:t xml:space="preserve"> puedan representarse como tal o pedir ayuda. Incluso, si </w:t>
      </w:r>
      <w:r w:rsidR="00EB2929" w:rsidRPr="00F21E8E">
        <w:rPr>
          <w:rFonts w:ascii="Rockwell" w:hAnsi="Rockwell"/>
        </w:rPr>
        <w:t>llegan a</w:t>
      </w:r>
      <w:r w:rsidRPr="00F21E8E">
        <w:rPr>
          <w:rFonts w:ascii="Rockwell" w:hAnsi="Rockwell"/>
        </w:rPr>
        <w:t xml:space="preserve"> presentar una denuncia o brindar una declaración la carga </w:t>
      </w:r>
      <w:r w:rsidR="00EB2929" w:rsidRPr="00F21E8E">
        <w:rPr>
          <w:rFonts w:ascii="Rockwell" w:hAnsi="Rockwell"/>
        </w:rPr>
        <w:t>traumática o</w:t>
      </w:r>
      <w:r w:rsidRPr="00F21E8E">
        <w:rPr>
          <w:rFonts w:ascii="Rockwell" w:hAnsi="Rockwell"/>
        </w:rPr>
        <w:t xml:space="preserve"> postraumática que usualmente llevan, dificulta que sus </w:t>
      </w:r>
      <w:r w:rsidR="00EB2929" w:rsidRPr="00F21E8E">
        <w:rPr>
          <w:rFonts w:ascii="Rockwell" w:hAnsi="Rockwell"/>
        </w:rPr>
        <w:t>recuerdos sean</w:t>
      </w:r>
      <w:r w:rsidRPr="00F21E8E">
        <w:rPr>
          <w:rFonts w:ascii="Rockwell" w:hAnsi="Rockwell"/>
        </w:rPr>
        <w:t xml:space="preserve"> precisos o nítidos. A ello se suma que el </w:t>
      </w:r>
      <w:r w:rsidR="00EB2929" w:rsidRPr="00F21E8E">
        <w:rPr>
          <w:rFonts w:ascii="Rockwell" w:hAnsi="Rockwell"/>
        </w:rPr>
        <w:t>acto de</w:t>
      </w:r>
      <w:r w:rsidRPr="00F21E8E">
        <w:rPr>
          <w:rFonts w:ascii="Rockwell" w:hAnsi="Rockwell"/>
        </w:rPr>
        <w:t xml:space="preserve"> exponer a terceras personas hechos vinculados a su </w:t>
      </w:r>
      <w:r w:rsidR="00EB2929" w:rsidRPr="00F21E8E">
        <w:rPr>
          <w:rFonts w:ascii="Rockwell" w:hAnsi="Rockwell"/>
        </w:rPr>
        <w:t>dignidad, intimidad</w:t>
      </w:r>
      <w:r w:rsidRPr="00F21E8E">
        <w:rPr>
          <w:rFonts w:ascii="Rockwell" w:hAnsi="Rockwell"/>
        </w:rPr>
        <w:t xml:space="preserve"> y privacidad, genera una carga adicional de tensión. Más </w:t>
      </w:r>
      <w:r w:rsidR="00EB2929" w:rsidRPr="00F21E8E">
        <w:rPr>
          <w:rFonts w:ascii="Rockwell" w:hAnsi="Rockwell"/>
        </w:rPr>
        <w:t>aún, si</w:t>
      </w:r>
      <w:r w:rsidRPr="00F21E8E">
        <w:rPr>
          <w:rFonts w:ascii="Rockwell" w:hAnsi="Rockwell"/>
        </w:rPr>
        <w:t xml:space="preserve"> dar cierta información puede desencadenar un temor en las víctimas de ser estigmatizadas o culpabilizadas por lo que les </w:t>
      </w:r>
      <w:r w:rsidR="00EB2929" w:rsidRPr="00F21E8E">
        <w:rPr>
          <w:rFonts w:ascii="Rockwell" w:hAnsi="Rockwell"/>
        </w:rPr>
        <w:t>ha pasado</w:t>
      </w:r>
      <w:r w:rsidRPr="00F21E8E">
        <w:rPr>
          <w:rFonts w:ascii="Rockwell" w:hAnsi="Rockwell"/>
        </w:rPr>
        <w:t>, o por haber estado involucradas en actividades delictivas.</w:t>
      </w:r>
    </w:p>
    <w:p w14:paraId="410D6AA2" w14:textId="16C29BF1"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 xml:space="preserve">Un enfoque centrado en la víctima </w:t>
      </w:r>
      <w:r w:rsidR="00026BB2" w:rsidRPr="00F21E8E">
        <w:rPr>
          <w:rFonts w:ascii="Rockwell" w:hAnsi="Rockwell"/>
        </w:rPr>
        <w:t xml:space="preserve">y </w:t>
      </w:r>
      <w:r w:rsidRPr="00F21E8E">
        <w:rPr>
          <w:rFonts w:ascii="Rockwell" w:hAnsi="Rockwell"/>
        </w:rPr>
        <w:t>en el trauma también</w:t>
      </w:r>
      <w:r w:rsidR="00026BB2" w:rsidRPr="00F21E8E">
        <w:rPr>
          <w:rFonts w:ascii="Rockwell" w:hAnsi="Rockwell"/>
        </w:rPr>
        <w:t xml:space="preserve">, </w:t>
      </w:r>
      <w:r w:rsidRPr="00F21E8E">
        <w:rPr>
          <w:rFonts w:ascii="Rockwell" w:hAnsi="Rockwell"/>
        </w:rPr>
        <w:t xml:space="preserve">debe reconocer los síntomas que puede generar en las víctimas sobrevivientes las experiencias traumáticas, y cómo estos </w:t>
      </w:r>
      <w:r w:rsidR="00EB2929" w:rsidRPr="00F21E8E">
        <w:rPr>
          <w:rFonts w:ascii="Rockwell" w:hAnsi="Rockwell"/>
        </w:rPr>
        <w:t>forman sus</w:t>
      </w:r>
      <w:r w:rsidRPr="00F21E8E">
        <w:rPr>
          <w:rFonts w:ascii="Rockwell" w:hAnsi="Rockwell"/>
        </w:rPr>
        <w:t xml:space="preserve"> reacciones, particularmente en el contexto del proceso penal.</w:t>
      </w:r>
      <w:r w:rsidR="006719D5">
        <w:rPr>
          <w:rFonts w:ascii="Rockwell" w:hAnsi="Rockwell"/>
        </w:rPr>
        <w:t xml:space="preserve"> S</w:t>
      </w:r>
      <w:r w:rsidRPr="00F21E8E">
        <w:rPr>
          <w:rFonts w:ascii="Rockwell" w:hAnsi="Rockwell"/>
        </w:rPr>
        <w:t xml:space="preserve">i una víctima se muestra hostil o agresiva ante </w:t>
      </w:r>
      <w:r w:rsidR="00EB2929" w:rsidRPr="00F21E8E">
        <w:rPr>
          <w:rFonts w:ascii="Rockwell" w:hAnsi="Rockwell"/>
        </w:rPr>
        <w:t>un operador</w:t>
      </w:r>
      <w:r w:rsidRPr="00F21E8E">
        <w:rPr>
          <w:rFonts w:ascii="Rockwell" w:hAnsi="Rockwell"/>
        </w:rPr>
        <w:t xml:space="preserve"> de justicia, es importante entender que posiblemente </w:t>
      </w:r>
      <w:r w:rsidR="00EB2929" w:rsidRPr="00F21E8E">
        <w:rPr>
          <w:rFonts w:ascii="Rockwell" w:hAnsi="Rockwell"/>
        </w:rPr>
        <w:t>no sea</w:t>
      </w:r>
      <w:r w:rsidRPr="00F21E8E">
        <w:rPr>
          <w:rFonts w:ascii="Rockwell" w:hAnsi="Rockwell"/>
        </w:rPr>
        <w:t xml:space="preserve"> nada contra este, sino que sea una de las tácticas y </w:t>
      </w:r>
      <w:r w:rsidR="00EB2929" w:rsidRPr="00F21E8E">
        <w:rPr>
          <w:rFonts w:ascii="Rockwell" w:hAnsi="Rockwell"/>
        </w:rPr>
        <w:t>emociones desarrolladas</w:t>
      </w:r>
      <w:r w:rsidRPr="00F21E8E">
        <w:rPr>
          <w:rFonts w:ascii="Rockwell" w:hAnsi="Rockwell"/>
        </w:rPr>
        <w:t xml:space="preserve"> para hacer frente o sobrevivir a su terrible </w:t>
      </w:r>
      <w:r w:rsidR="00EB2929" w:rsidRPr="00F21E8E">
        <w:rPr>
          <w:rFonts w:ascii="Rockwell" w:hAnsi="Rockwell"/>
        </w:rPr>
        <w:t>experiencia, y</w:t>
      </w:r>
      <w:r w:rsidRPr="00F21E8E">
        <w:rPr>
          <w:rFonts w:ascii="Rockwell" w:hAnsi="Rockwell"/>
        </w:rPr>
        <w:t xml:space="preserve"> que, muy posiblemente, reaccionaría de esa forma ante cualquiera.</w:t>
      </w:r>
    </w:p>
    <w:p w14:paraId="6A274F7A" w14:textId="4ABE8F81" w:rsidR="00B22305" w:rsidRDefault="00C42832" w:rsidP="00B973CC">
      <w:pPr>
        <w:spacing w:before="120" w:after="0" w:line="240" w:lineRule="auto"/>
        <w:ind w:firstLine="170"/>
        <w:jc w:val="both"/>
        <w:rPr>
          <w:rFonts w:ascii="Rockwell" w:hAnsi="Rockwell"/>
        </w:rPr>
      </w:pPr>
      <w:r>
        <w:rPr>
          <w:rFonts w:ascii="Rockwell" w:hAnsi="Rockwell"/>
        </w:rPr>
        <w:t>T</w:t>
      </w:r>
      <w:r w:rsidR="00B22305" w:rsidRPr="00F21E8E">
        <w:rPr>
          <w:rFonts w:ascii="Rockwell" w:hAnsi="Rockwell"/>
        </w:rPr>
        <w:t xml:space="preserve">omando en cuenta las secuelas a nivel </w:t>
      </w:r>
      <w:r w:rsidR="00EB2929" w:rsidRPr="00F21E8E">
        <w:rPr>
          <w:rFonts w:ascii="Rockwell" w:hAnsi="Rockwell"/>
        </w:rPr>
        <w:t>neurológico, biológico</w:t>
      </w:r>
      <w:r w:rsidR="00B22305" w:rsidRPr="00F21E8E">
        <w:rPr>
          <w:rFonts w:ascii="Rockwell" w:hAnsi="Rockwell"/>
        </w:rPr>
        <w:t>, psicológico y social que el proceso de victimización de trata</w:t>
      </w:r>
      <w:r>
        <w:rPr>
          <w:rFonts w:ascii="Rockwell" w:hAnsi="Rockwell"/>
        </w:rPr>
        <w:t xml:space="preserve"> </w:t>
      </w:r>
      <w:r w:rsidR="00B22305" w:rsidRPr="00F21E8E">
        <w:rPr>
          <w:rFonts w:ascii="Rockwell" w:hAnsi="Rockwell"/>
        </w:rPr>
        <w:t xml:space="preserve">de personas tiene sobre las víctimas, es fundamental que, al valorarla declaración testimonial, los jueces deban hacerlo no solo sin </w:t>
      </w:r>
      <w:r w:rsidR="00EB2929" w:rsidRPr="00F21E8E">
        <w:rPr>
          <w:rFonts w:ascii="Rockwell" w:hAnsi="Rockwell"/>
        </w:rPr>
        <w:t>caer en</w:t>
      </w:r>
      <w:r w:rsidR="00B22305" w:rsidRPr="00F21E8E">
        <w:rPr>
          <w:rFonts w:ascii="Rockwell" w:hAnsi="Rockwell"/>
        </w:rPr>
        <w:t xml:space="preserve"> el intento de homogenizar las reacciones de las víctimas, sino acorde a un estándar realista que </w:t>
      </w:r>
      <w:r w:rsidR="00EB2929" w:rsidRPr="00F21E8E">
        <w:rPr>
          <w:rFonts w:ascii="Rockwell" w:hAnsi="Rockwell"/>
        </w:rPr>
        <w:t>considere que</w:t>
      </w:r>
      <w:r w:rsidR="00B22305" w:rsidRPr="00F21E8E">
        <w:rPr>
          <w:rFonts w:ascii="Rockwell" w:hAnsi="Rockwell"/>
        </w:rPr>
        <w:t xml:space="preserve"> las imprecisiones o inconsistencias que, en otros testigos </w:t>
      </w:r>
      <w:r w:rsidR="00EB2929" w:rsidRPr="00F21E8E">
        <w:rPr>
          <w:rFonts w:ascii="Rockwell" w:hAnsi="Rockwell"/>
        </w:rPr>
        <w:t>podría ser</w:t>
      </w:r>
      <w:r w:rsidR="00B22305" w:rsidRPr="00F21E8E">
        <w:rPr>
          <w:rFonts w:ascii="Rockwell" w:hAnsi="Rockwell"/>
        </w:rPr>
        <w:t xml:space="preserve"> interpretado como falta de credibilidad, en estos casos, es </w:t>
      </w:r>
      <w:r w:rsidR="00EB2929" w:rsidRPr="00F21E8E">
        <w:rPr>
          <w:rFonts w:ascii="Rockwell" w:hAnsi="Rockwell"/>
        </w:rPr>
        <w:t>una consecuencia</w:t>
      </w:r>
      <w:r w:rsidR="00B22305" w:rsidRPr="00F21E8E">
        <w:rPr>
          <w:rFonts w:ascii="Rockwell" w:hAnsi="Rockwell"/>
        </w:rPr>
        <w:t xml:space="preserve"> natural de la victimización a la que han sido expuestas.</w:t>
      </w:r>
    </w:p>
    <w:p w14:paraId="2113FFD3" w14:textId="77777777" w:rsidR="00B31F68" w:rsidRPr="00F21E8E" w:rsidRDefault="00B31F68" w:rsidP="00B973CC">
      <w:pPr>
        <w:spacing w:before="120" w:after="0" w:line="240" w:lineRule="auto"/>
        <w:ind w:firstLine="170"/>
        <w:jc w:val="both"/>
        <w:rPr>
          <w:rFonts w:ascii="Rockwell" w:hAnsi="Rockwell"/>
        </w:rPr>
      </w:pPr>
    </w:p>
    <w:p w14:paraId="28B00C9A" w14:textId="57D43197" w:rsidR="00B22305" w:rsidRPr="00F21E8E" w:rsidRDefault="00B22305" w:rsidP="00B973CC">
      <w:pPr>
        <w:spacing w:before="120" w:after="0" w:line="240" w:lineRule="auto"/>
        <w:ind w:firstLine="170"/>
        <w:jc w:val="both"/>
        <w:rPr>
          <w:rFonts w:ascii="Rockwell" w:hAnsi="Rockwell"/>
          <w:b/>
          <w:bCs/>
        </w:rPr>
      </w:pPr>
      <w:r w:rsidRPr="00F21E8E">
        <w:rPr>
          <w:rFonts w:ascii="Rockwell" w:hAnsi="Rockwell"/>
          <w:b/>
          <w:bCs/>
        </w:rPr>
        <w:t>Criminalización de víctimas y principio</w:t>
      </w:r>
      <w:r w:rsidR="00026BB2" w:rsidRPr="00F21E8E">
        <w:rPr>
          <w:rFonts w:ascii="Rockwell" w:hAnsi="Rockwell"/>
          <w:b/>
          <w:bCs/>
        </w:rPr>
        <w:t xml:space="preserve"> </w:t>
      </w:r>
      <w:r w:rsidRPr="00F21E8E">
        <w:rPr>
          <w:rFonts w:ascii="Rockwell" w:hAnsi="Rockwell"/>
          <w:b/>
          <w:bCs/>
        </w:rPr>
        <w:t>de no punición</w:t>
      </w:r>
    </w:p>
    <w:p w14:paraId="1F1A0FC0" w14:textId="37D240F1"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 xml:space="preserve">Los </w:t>
      </w:r>
      <w:r w:rsidR="00026BB2" w:rsidRPr="00F21E8E">
        <w:rPr>
          <w:rFonts w:ascii="Rockwell" w:hAnsi="Rockwell"/>
        </w:rPr>
        <w:t>p</w:t>
      </w:r>
      <w:r w:rsidRPr="00F21E8E">
        <w:rPr>
          <w:rFonts w:ascii="Rockwell" w:hAnsi="Rockwell"/>
        </w:rPr>
        <w:t xml:space="preserve">rincipios y </w:t>
      </w:r>
      <w:r w:rsidR="00026BB2" w:rsidRPr="00F21E8E">
        <w:rPr>
          <w:rFonts w:ascii="Rockwell" w:hAnsi="Rockwell"/>
        </w:rPr>
        <w:t>d</w:t>
      </w:r>
      <w:r w:rsidRPr="00F21E8E">
        <w:rPr>
          <w:rFonts w:ascii="Rockwell" w:hAnsi="Rockwell"/>
        </w:rPr>
        <w:t>irectrices sobre derechos humanos y trata de personas</w:t>
      </w:r>
      <w:r w:rsidR="00E40FFC" w:rsidRPr="00F21E8E">
        <w:rPr>
          <w:rFonts w:ascii="Rockwell" w:hAnsi="Rockwell"/>
        </w:rPr>
        <w:t xml:space="preserve"> </w:t>
      </w:r>
      <w:r w:rsidRPr="00F21E8E">
        <w:rPr>
          <w:rFonts w:ascii="Rockwell" w:hAnsi="Rockwell"/>
        </w:rPr>
        <w:t xml:space="preserve">del </w:t>
      </w:r>
      <w:r w:rsidR="00E40FFC" w:rsidRPr="00F21E8E">
        <w:rPr>
          <w:rFonts w:ascii="Rockwell" w:hAnsi="Rockwell"/>
          <w:b/>
          <w:bCs/>
        </w:rPr>
        <w:t>ACNUR</w:t>
      </w:r>
      <w:r w:rsidRPr="00F21E8E">
        <w:rPr>
          <w:rFonts w:ascii="Rockwell" w:hAnsi="Rockwell"/>
          <w:b/>
          <w:bCs/>
        </w:rPr>
        <w:t xml:space="preserve"> </w:t>
      </w:r>
      <w:r w:rsidRPr="00F21E8E">
        <w:rPr>
          <w:rFonts w:ascii="Rockwell" w:hAnsi="Rockwell"/>
        </w:rPr>
        <w:t>de 2002 reconocieron por vez primera que la</w:t>
      </w:r>
      <w:r w:rsidR="00E40FFC" w:rsidRPr="00F21E8E">
        <w:rPr>
          <w:rFonts w:ascii="Rockwell" w:hAnsi="Rockwell"/>
        </w:rPr>
        <w:t xml:space="preserve"> </w:t>
      </w:r>
      <w:r w:rsidRPr="00F21E8E">
        <w:rPr>
          <w:rFonts w:ascii="Rockwell" w:hAnsi="Rockwell"/>
        </w:rPr>
        <w:t>explotación que persigue la trata de personas puede implicar que las</w:t>
      </w:r>
      <w:r w:rsidR="00E40FFC" w:rsidRPr="00F21E8E">
        <w:rPr>
          <w:rFonts w:ascii="Rockwell" w:hAnsi="Rockwell"/>
        </w:rPr>
        <w:t xml:space="preserve"> </w:t>
      </w:r>
      <w:r w:rsidRPr="00F21E8E">
        <w:rPr>
          <w:rFonts w:ascii="Rockwell" w:hAnsi="Rockwell"/>
        </w:rPr>
        <w:t>víctimas se involucren en actividades ilegales e incluso, cometan de</w:t>
      </w:r>
      <w:r w:rsidR="00E40FFC" w:rsidRPr="00F21E8E">
        <w:rPr>
          <w:rFonts w:ascii="Rockwell" w:hAnsi="Rockwell"/>
        </w:rPr>
        <w:t xml:space="preserve"> </w:t>
      </w:r>
      <w:r w:rsidRPr="00F21E8E">
        <w:rPr>
          <w:rFonts w:ascii="Rockwell" w:hAnsi="Rockwell"/>
        </w:rPr>
        <w:t>manera incidental actos delictivos a causa de su victimización. Por</w:t>
      </w:r>
      <w:r w:rsidR="00E40FFC" w:rsidRPr="00F21E8E">
        <w:rPr>
          <w:rFonts w:ascii="Rockwell" w:hAnsi="Rockwell"/>
        </w:rPr>
        <w:t xml:space="preserve"> </w:t>
      </w:r>
      <w:r w:rsidRPr="00F21E8E">
        <w:rPr>
          <w:rFonts w:ascii="Rockwell" w:hAnsi="Rockwell"/>
        </w:rPr>
        <w:t>eso, el principio 7 señala que las víctimas deben recibir</w:t>
      </w:r>
      <w:r w:rsidR="00E40FFC" w:rsidRPr="00F21E8E">
        <w:rPr>
          <w:rFonts w:ascii="Rockwell" w:hAnsi="Rockwell"/>
        </w:rPr>
        <w:t xml:space="preserve"> </w:t>
      </w:r>
      <w:r w:rsidRPr="00F21E8E">
        <w:rPr>
          <w:rFonts w:ascii="Rockwell" w:hAnsi="Rockwell"/>
        </w:rPr>
        <w:t>protección, no sanción, cuando tales actos son consecuencia directa</w:t>
      </w:r>
      <w:r w:rsidR="00E40FFC" w:rsidRPr="00F21E8E">
        <w:rPr>
          <w:rFonts w:ascii="Rockwell" w:hAnsi="Rockwell"/>
        </w:rPr>
        <w:t xml:space="preserve"> </w:t>
      </w:r>
      <w:r w:rsidRPr="00F21E8E">
        <w:rPr>
          <w:rFonts w:ascii="Rockwell" w:hAnsi="Rockwell"/>
        </w:rPr>
        <w:t>de su condición de víctima de trata, y si son niño/as, no deben ser</w:t>
      </w:r>
      <w:r w:rsidR="00E40FFC" w:rsidRPr="00F21E8E">
        <w:rPr>
          <w:rFonts w:ascii="Rockwell" w:hAnsi="Rockwell"/>
        </w:rPr>
        <w:t xml:space="preserve"> </w:t>
      </w:r>
      <w:r w:rsidRPr="00F21E8E">
        <w:rPr>
          <w:rFonts w:ascii="Rockwell" w:hAnsi="Rockwell"/>
        </w:rPr>
        <w:t>procesados o sancionados por ilícitos relacionados a su victimización.</w:t>
      </w:r>
    </w:p>
    <w:p w14:paraId="695C36E3" w14:textId="6A07C9DA"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Si bien el principio de no penalización no fue incluido</w:t>
      </w:r>
      <w:r w:rsidR="00E40FFC" w:rsidRPr="00F21E8E">
        <w:rPr>
          <w:rFonts w:ascii="Rockwell" w:hAnsi="Rockwell"/>
        </w:rPr>
        <w:t xml:space="preserve"> </w:t>
      </w:r>
      <w:r w:rsidRPr="00F21E8E">
        <w:rPr>
          <w:rFonts w:ascii="Rockwell" w:hAnsi="Rockwell"/>
        </w:rPr>
        <w:t xml:space="preserve">expresamente en el </w:t>
      </w:r>
      <w:r w:rsidRPr="00F21E8E">
        <w:rPr>
          <w:rFonts w:ascii="Rockwell" w:hAnsi="Rockwell"/>
          <w:b/>
          <w:bCs/>
        </w:rPr>
        <w:t>Protocolo de Palermo,</w:t>
      </w:r>
      <w:r w:rsidRPr="00F21E8E">
        <w:rPr>
          <w:rFonts w:ascii="Rockwell" w:hAnsi="Rockwell"/>
        </w:rPr>
        <w:t xml:space="preserve"> otros instrumentos</w:t>
      </w:r>
      <w:r w:rsidR="00734F09" w:rsidRPr="00F21E8E">
        <w:rPr>
          <w:rFonts w:ascii="Rockwell" w:hAnsi="Rockwell"/>
        </w:rPr>
        <w:t xml:space="preserve"> </w:t>
      </w:r>
      <w:r w:rsidRPr="00F21E8E">
        <w:rPr>
          <w:rFonts w:ascii="Rockwell" w:hAnsi="Rockwell"/>
        </w:rPr>
        <w:t>internacionales y regionales vinculantes, sí lo incluyen.</w:t>
      </w:r>
      <w:r w:rsidR="006719D5">
        <w:rPr>
          <w:rFonts w:ascii="Rockwell" w:hAnsi="Rockwell"/>
        </w:rPr>
        <w:t xml:space="preserve"> </w:t>
      </w:r>
      <w:r w:rsidRPr="00F21E8E">
        <w:rPr>
          <w:rFonts w:ascii="Rockwell" w:hAnsi="Rockwell"/>
        </w:rPr>
        <w:t>El hecho de que la gran mayoría de Estados no haya implementado</w:t>
      </w:r>
      <w:r w:rsidR="00E40FFC" w:rsidRPr="00F21E8E">
        <w:rPr>
          <w:rFonts w:ascii="Rockwell" w:hAnsi="Rockwell"/>
        </w:rPr>
        <w:t xml:space="preserve"> </w:t>
      </w:r>
      <w:r w:rsidRPr="00F21E8E">
        <w:rPr>
          <w:rFonts w:ascii="Rockwell" w:hAnsi="Rockwell"/>
        </w:rPr>
        <w:t>en su legislación interna este principio ha generado que muchas</w:t>
      </w:r>
      <w:r w:rsidR="00E40FFC" w:rsidRPr="00F21E8E">
        <w:rPr>
          <w:rFonts w:ascii="Rockwell" w:hAnsi="Rockwell"/>
        </w:rPr>
        <w:t xml:space="preserve"> </w:t>
      </w:r>
      <w:r w:rsidRPr="00F21E8E">
        <w:rPr>
          <w:rFonts w:ascii="Rockwell" w:hAnsi="Rockwell"/>
        </w:rPr>
        <w:t>víctimas, incluido niños/as, sigan siendo tratadas y perseguidas</w:t>
      </w:r>
      <w:r w:rsidR="00E40FFC" w:rsidRPr="00F21E8E">
        <w:rPr>
          <w:rFonts w:ascii="Rockwell" w:hAnsi="Rockwell"/>
        </w:rPr>
        <w:t xml:space="preserve"> </w:t>
      </w:r>
      <w:r w:rsidRPr="00F21E8E">
        <w:rPr>
          <w:rFonts w:ascii="Rockwell" w:hAnsi="Rockwell"/>
        </w:rPr>
        <w:t>como criminales o migrantes irregulares —corriendo el riesgo de ser</w:t>
      </w:r>
      <w:r w:rsidR="00E40FFC" w:rsidRPr="00F21E8E">
        <w:rPr>
          <w:rFonts w:ascii="Rockwell" w:hAnsi="Rockwell"/>
        </w:rPr>
        <w:t xml:space="preserve"> </w:t>
      </w:r>
      <w:r w:rsidRPr="00F21E8E">
        <w:rPr>
          <w:rFonts w:ascii="Rockwell" w:hAnsi="Rockwell"/>
        </w:rPr>
        <w:t>detenidas o deportadas— pese a los claros indicios de ser víctima</w:t>
      </w:r>
      <w:r w:rsidR="00734F09" w:rsidRPr="00F21E8E">
        <w:rPr>
          <w:rFonts w:ascii="Rockwell" w:hAnsi="Rockwell"/>
        </w:rPr>
        <w:t xml:space="preserve">s </w:t>
      </w:r>
      <w:r w:rsidRPr="00F21E8E">
        <w:rPr>
          <w:rFonts w:ascii="Rockwell" w:hAnsi="Rockwell"/>
        </w:rPr>
        <w:t>de trata. Un estudio cualitativo realizado</w:t>
      </w:r>
      <w:r w:rsidR="00E40FFC" w:rsidRPr="00F21E8E">
        <w:rPr>
          <w:rFonts w:ascii="Rockwell" w:hAnsi="Rockwell"/>
        </w:rPr>
        <w:t xml:space="preserve"> </w:t>
      </w:r>
      <w:r w:rsidRPr="00F21E8E">
        <w:rPr>
          <w:rFonts w:ascii="Rockwell" w:hAnsi="Rockwell"/>
        </w:rPr>
        <w:t>con internas en centros penitenciarios en España concluyó, luego de</w:t>
      </w:r>
      <w:r w:rsidR="00E40FFC" w:rsidRPr="00F21E8E">
        <w:rPr>
          <w:rFonts w:ascii="Rockwell" w:hAnsi="Rockwell"/>
        </w:rPr>
        <w:t xml:space="preserve"> </w:t>
      </w:r>
      <w:r w:rsidRPr="00F21E8E">
        <w:rPr>
          <w:rFonts w:ascii="Rockwell" w:hAnsi="Rockwell"/>
        </w:rPr>
        <w:t xml:space="preserve">analizar sus historias de vida que, de 45 internas extranjeras, </w:t>
      </w:r>
      <w:r w:rsidR="00E5104F" w:rsidRPr="00F21E8E">
        <w:rPr>
          <w:rFonts w:ascii="Rockwell" w:hAnsi="Rockwell"/>
        </w:rPr>
        <w:t>diez</w:t>
      </w:r>
      <w:r w:rsidRPr="00F21E8E">
        <w:rPr>
          <w:rFonts w:ascii="Rockwell" w:hAnsi="Rockwell"/>
        </w:rPr>
        <w:t xml:space="preserve"> podían</w:t>
      </w:r>
      <w:r w:rsidR="00E40FFC" w:rsidRPr="00F21E8E">
        <w:rPr>
          <w:rFonts w:ascii="Rockwell" w:hAnsi="Rockwell"/>
        </w:rPr>
        <w:t xml:space="preserve"> </w:t>
      </w:r>
      <w:r w:rsidRPr="00F21E8E">
        <w:rPr>
          <w:rFonts w:ascii="Rockwell" w:hAnsi="Rockwell"/>
        </w:rPr>
        <w:t>ser clasificadas indubitablemente como víctimas de trata, en donde</w:t>
      </w:r>
      <w:r w:rsidR="00E40FFC" w:rsidRPr="00F21E8E">
        <w:rPr>
          <w:rFonts w:ascii="Rockwell" w:hAnsi="Rockwell"/>
        </w:rPr>
        <w:t xml:space="preserve"> </w:t>
      </w:r>
      <w:r w:rsidRPr="00F21E8E">
        <w:rPr>
          <w:rFonts w:ascii="Rockwell" w:hAnsi="Rockwell"/>
        </w:rPr>
        <w:t xml:space="preserve">la mayoría fue usada como </w:t>
      </w:r>
      <w:r w:rsidR="00734F09" w:rsidRPr="00F21E8E">
        <w:rPr>
          <w:rFonts w:ascii="Rockwell" w:hAnsi="Rockwell"/>
          <w:i/>
          <w:iCs/>
        </w:rPr>
        <w:t>burrier</w:t>
      </w:r>
      <w:r w:rsidR="00734F09" w:rsidRPr="00F21E8E">
        <w:rPr>
          <w:rFonts w:ascii="Rockwell" w:hAnsi="Rockwell"/>
        </w:rPr>
        <w:t xml:space="preserve"> </w:t>
      </w:r>
      <w:r w:rsidRPr="00F21E8E">
        <w:rPr>
          <w:rFonts w:ascii="Rockwell" w:hAnsi="Rockwell"/>
        </w:rPr>
        <w:t>y una minoría cometió delitos</w:t>
      </w:r>
      <w:r w:rsidR="00E40FFC" w:rsidRPr="00F21E8E">
        <w:rPr>
          <w:rFonts w:ascii="Rockwell" w:hAnsi="Rockwell"/>
        </w:rPr>
        <w:t xml:space="preserve"> </w:t>
      </w:r>
      <w:r w:rsidRPr="00F21E8E">
        <w:rPr>
          <w:rFonts w:ascii="Rockwell" w:hAnsi="Rockwell"/>
        </w:rPr>
        <w:t>patrimoniales. Estos delitos por</w:t>
      </w:r>
      <w:r w:rsidR="00E40FFC" w:rsidRPr="00F21E8E">
        <w:rPr>
          <w:rFonts w:ascii="Rockwell" w:hAnsi="Rockwell"/>
        </w:rPr>
        <w:t xml:space="preserve"> </w:t>
      </w:r>
      <w:r w:rsidRPr="00F21E8E">
        <w:rPr>
          <w:rFonts w:ascii="Rockwell" w:hAnsi="Rockwell"/>
        </w:rPr>
        <w:t>los que estaban purgando cárcel habían sido cometidos en la fase de</w:t>
      </w:r>
      <w:r w:rsidR="00E40FFC" w:rsidRPr="00F21E8E">
        <w:rPr>
          <w:rFonts w:ascii="Rockwell" w:hAnsi="Rockwell"/>
        </w:rPr>
        <w:t xml:space="preserve"> </w:t>
      </w:r>
      <w:r w:rsidRPr="00F21E8E">
        <w:rPr>
          <w:rFonts w:ascii="Rockwell" w:hAnsi="Rockwell"/>
        </w:rPr>
        <w:t>explotación del proceso de trata del que eran víctimas.</w:t>
      </w:r>
    </w:p>
    <w:p w14:paraId="2867A77E" w14:textId="17A3C9F0" w:rsidR="003B71D7" w:rsidRPr="00F21E8E" w:rsidRDefault="00B22305" w:rsidP="00B973CC">
      <w:pPr>
        <w:spacing w:before="120" w:after="0" w:line="240" w:lineRule="auto"/>
        <w:ind w:firstLine="170"/>
        <w:jc w:val="both"/>
        <w:rPr>
          <w:rFonts w:ascii="Rockwell" w:hAnsi="Rockwell"/>
        </w:rPr>
      </w:pPr>
      <w:r w:rsidRPr="00F21E8E">
        <w:rPr>
          <w:rFonts w:ascii="Rockwell" w:hAnsi="Rockwell"/>
        </w:rPr>
        <w:t>Frente a este panorama, los Estados deben</w:t>
      </w:r>
      <w:r w:rsidR="00E40FFC" w:rsidRPr="00F21E8E">
        <w:rPr>
          <w:rFonts w:ascii="Rockwell" w:hAnsi="Rockwell"/>
        </w:rPr>
        <w:t xml:space="preserve"> </w:t>
      </w:r>
      <w:r w:rsidRPr="00F21E8E">
        <w:rPr>
          <w:rFonts w:ascii="Rockwell" w:hAnsi="Rockwell"/>
        </w:rPr>
        <w:t>aplicar el principio de no punición cuando la persona haya cometido</w:t>
      </w:r>
      <w:r w:rsidR="00E40FFC" w:rsidRPr="00F21E8E">
        <w:rPr>
          <w:rFonts w:ascii="Rockwell" w:hAnsi="Rockwell"/>
        </w:rPr>
        <w:t xml:space="preserve"> </w:t>
      </w:r>
      <w:r w:rsidRPr="00F21E8E">
        <w:rPr>
          <w:rFonts w:ascii="Rockwell" w:hAnsi="Rockwell"/>
        </w:rPr>
        <w:t>cualquier actividad ilícita sin obrar libremente —incluso si se ha</w:t>
      </w:r>
      <w:r w:rsidR="00E40FFC" w:rsidRPr="00F21E8E">
        <w:rPr>
          <w:rFonts w:ascii="Rockwell" w:hAnsi="Rockwell"/>
        </w:rPr>
        <w:t xml:space="preserve"> </w:t>
      </w:r>
      <w:r w:rsidRPr="00F21E8E">
        <w:rPr>
          <w:rFonts w:ascii="Rockwell" w:hAnsi="Rockwell"/>
        </w:rPr>
        <w:t xml:space="preserve">abusado </w:t>
      </w:r>
      <w:r w:rsidRPr="00F21E8E">
        <w:rPr>
          <w:rFonts w:ascii="Rockwell" w:hAnsi="Rockwell"/>
        </w:rPr>
        <w:lastRenderedPageBreak/>
        <w:t>de su situación de vulnerabilidad— y debe aplicarse en una</w:t>
      </w:r>
      <w:r w:rsidR="00E40FFC" w:rsidRPr="00F21E8E">
        <w:rPr>
          <w:rFonts w:ascii="Rockwell" w:hAnsi="Rockwell"/>
        </w:rPr>
        <w:t xml:space="preserve"> </w:t>
      </w:r>
      <w:r w:rsidRPr="00F21E8E">
        <w:rPr>
          <w:rFonts w:ascii="Rockwell" w:hAnsi="Rockwell"/>
        </w:rPr>
        <w:t>etapa temprana, no solo como defensa en juicio, por lo que no debe</w:t>
      </w:r>
      <w:r w:rsidR="00E40FFC" w:rsidRPr="00F21E8E">
        <w:rPr>
          <w:rFonts w:ascii="Rockwell" w:hAnsi="Rockwell"/>
        </w:rPr>
        <w:t xml:space="preserve"> </w:t>
      </w:r>
      <w:r w:rsidRPr="00F21E8E">
        <w:rPr>
          <w:rFonts w:ascii="Rockwell" w:hAnsi="Rockwell"/>
        </w:rPr>
        <w:t>iniciarse actuaciones penales o debe interrumpirse inmediatamente si</w:t>
      </w:r>
      <w:r w:rsidR="00E40FFC" w:rsidRPr="00F21E8E">
        <w:rPr>
          <w:rFonts w:ascii="Rockwell" w:hAnsi="Rockwell"/>
        </w:rPr>
        <w:t xml:space="preserve"> </w:t>
      </w:r>
      <w:r w:rsidRPr="00F21E8E">
        <w:rPr>
          <w:rFonts w:ascii="Rockwell" w:hAnsi="Rockwell"/>
        </w:rPr>
        <w:t>hay motivos para creer que la persona es víctima de trata.</w:t>
      </w:r>
    </w:p>
    <w:p w14:paraId="71EB5BFA" w14:textId="66904732" w:rsidR="00B22305" w:rsidRDefault="00B22305" w:rsidP="00B973CC">
      <w:pPr>
        <w:spacing w:before="120" w:after="0" w:line="240" w:lineRule="auto"/>
        <w:ind w:firstLine="170"/>
        <w:jc w:val="both"/>
        <w:rPr>
          <w:rFonts w:ascii="Rockwell" w:hAnsi="Rockwell"/>
        </w:rPr>
      </w:pPr>
      <w:r w:rsidRPr="00F21E8E">
        <w:rPr>
          <w:rFonts w:ascii="Rockwell" w:hAnsi="Rockwell"/>
        </w:rPr>
        <w:t>La investigación y persecución de estos delitos debe centrarse en la</w:t>
      </w:r>
      <w:r w:rsidR="00E40FFC" w:rsidRPr="00F21E8E">
        <w:rPr>
          <w:rFonts w:ascii="Rockwell" w:hAnsi="Rockwell"/>
        </w:rPr>
        <w:t xml:space="preserve"> </w:t>
      </w:r>
      <w:r w:rsidRPr="00F21E8E">
        <w:rPr>
          <w:rFonts w:ascii="Rockwell" w:hAnsi="Rockwell"/>
        </w:rPr>
        <w:t>persona tratante que determinó la situación de explotación criminal que</w:t>
      </w:r>
      <w:r w:rsidR="00E40FFC" w:rsidRPr="00F21E8E">
        <w:rPr>
          <w:rFonts w:ascii="Rockwell" w:hAnsi="Rockwell"/>
        </w:rPr>
        <w:t xml:space="preserve"> </w:t>
      </w:r>
      <w:r w:rsidRPr="00F21E8E">
        <w:rPr>
          <w:rFonts w:ascii="Rockwell" w:hAnsi="Rockwell"/>
        </w:rPr>
        <w:t>ha forzado o llevado a la víctima a delinquir. El principio de no punición</w:t>
      </w:r>
      <w:r w:rsidR="00E40FFC" w:rsidRPr="00F21E8E">
        <w:rPr>
          <w:rFonts w:ascii="Rockwell" w:hAnsi="Rockwell"/>
        </w:rPr>
        <w:t xml:space="preserve"> </w:t>
      </w:r>
      <w:r w:rsidRPr="00F21E8E">
        <w:rPr>
          <w:rFonts w:ascii="Rockwell" w:hAnsi="Rockwell"/>
        </w:rPr>
        <w:t xml:space="preserve">no solo se fundamenta en razones de justicia </w:t>
      </w:r>
      <w:r w:rsidR="00E5104F" w:rsidRPr="00F21E8E">
        <w:rPr>
          <w:rFonts w:ascii="Rockwell" w:hAnsi="Rockwell"/>
        </w:rPr>
        <w:t xml:space="preserve">como </w:t>
      </w:r>
      <w:r w:rsidRPr="00F21E8E">
        <w:rPr>
          <w:rFonts w:ascii="Rockwell" w:hAnsi="Rockwell"/>
        </w:rPr>
        <w:t>no castigar a las víctimas</w:t>
      </w:r>
      <w:r w:rsidR="00E40FFC" w:rsidRPr="00F21E8E">
        <w:rPr>
          <w:rFonts w:ascii="Rockwell" w:hAnsi="Rockwell"/>
        </w:rPr>
        <w:t xml:space="preserve"> </w:t>
      </w:r>
      <w:r w:rsidRPr="00F21E8E">
        <w:rPr>
          <w:rFonts w:ascii="Rockwell" w:hAnsi="Rockwell"/>
        </w:rPr>
        <w:t>por actos que no hubieran hecho de no ser por su victimización, y que</w:t>
      </w:r>
      <w:r w:rsidR="00E40FFC" w:rsidRPr="00F21E8E">
        <w:rPr>
          <w:rFonts w:ascii="Rockwell" w:hAnsi="Rockwell"/>
        </w:rPr>
        <w:t xml:space="preserve"> </w:t>
      </w:r>
      <w:r w:rsidRPr="00F21E8E">
        <w:rPr>
          <w:rFonts w:ascii="Rockwell" w:hAnsi="Rockwell"/>
        </w:rPr>
        <w:t>son de responsabilidad de los tratantes; sino que asegura también</w:t>
      </w:r>
      <w:r w:rsidR="00E40FFC" w:rsidRPr="00F21E8E">
        <w:rPr>
          <w:rFonts w:ascii="Rockwell" w:hAnsi="Rockwell"/>
        </w:rPr>
        <w:t xml:space="preserve"> </w:t>
      </w:r>
      <w:r w:rsidRPr="00F21E8E">
        <w:rPr>
          <w:rFonts w:ascii="Rockwell" w:hAnsi="Rockwell"/>
        </w:rPr>
        <w:t>el acceso inmediato al apoyo y servicios necesarios, y alienta que</w:t>
      </w:r>
      <w:r w:rsidR="00E40FFC" w:rsidRPr="00F21E8E">
        <w:rPr>
          <w:rFonts w:ascii="Rockwell" w:hAnsi="Rockwell"/>
        </w:rPr>
        <w:t xml:space="preserve"> </w:t>
      </w:r>
      <w:r w:rsidRPr="00F21E8E">
        <w:rPr>
          <w:rFonts w:ascii="Rockwell" w:hAnsi="Rockwell"/>
        </w:rPr>
        <w:t>las víctimas puedan denunciar los delitos cometidos</w:t>
      </w:r>
      <w:r w:rsidR="00E40FFC" w:rsidRPr="00F21E8E">
        <w:rPr>
          <w:rFonts w:ascii="Rockwell" w:hAnsi="Rockwell"/>
        </w:rPr>
        <w:t xml:space="preserve"> </w:t>
      </w:r>
      <w:r w:rsidRPr="00F21E8E">
        <w:rPr>
          <w:rFonts w:ascii="Rockwell" w:hAnsi="Rockwell"/>
        </w:rPr>
        <w:t>contra ellas sin temor a ser ellas mismas cuestionadas.</w:t>
      </w:r>
    </w:p>
    <w:p w14:paraId="24E578FD" w14:textId="77777777" w:rsidR="00C42832" w:rsidRPr="00F21E8E" w:rsidRDefault="00C42832" w:rsidP="00B973CC">
      <w:pPr>
        <w:spacing w:before="120" w:after="0" w:line="240" w:lineRule="auto"/>
        <w:ind w:firstLine="170"/>
        <w:jc w:val="both"/>
        <w:rPr>
          <w:rFonts w:ascii="Rockwell" w:hAnsi="Rockwell"/>
        </w:rPr>
      </w:pPr>
    </w:p>
    <w:p w14:paraId="0BDBADE1" w14:textId="77777777" w:rsidR="00DA15A1" w:rsidRDefault="00DA15A1" w:rsidP="00B973CC">
      <w:pPr>
        <w:spacing w:before="120" w:after="0" w:line="240" w:lineRule="auto"/>
        <w:ind w:firstLine="170"/>
        <w:jc w:val="both"/>
        <w:rPr>
          <w:rFonts w:ascii="Rockwell" w:hAnsi="Rockwell"/>
        </w:rPr>
      </w:pPr>
      <w:r w:rsidRPr="00F21E8E">
        <w:rPr>
          <w:rFonts w:ascii="Rockwell" w:hAnsi="Rockwell"/>
          <w:b/>
          <w:bCs/>
        </w:rPr>
        <w:t>Grupo de Trabajo sobre la Trata de Personas</w:t>
      </w:r>
      <w:r w:rsidRPr="00F21E8E">
        <w:rPr>
          <w:rFonts w:ascii="Rockwell" w:hAnsi="Rockwell"/>
        </w:rPr>
        <w:t xml:space="preserve"> </w:t>
      </w:r>
    </w:p>
    <w:p w14:paraId="7693FE9D" w14:textId="76BB55E8"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Un enfoque centrado en la víctima debe concluir, tal</w:t>
      </w:r>
      <w:r w:rsidR="00E40FFC" w:rsidRPr="00F21E8E">
        <w:rPr>
          <w:rFonts w:ascii="Rockwell" w:hAnsi="Rockwell"/>
        </w:rPr>
        <w:t xml:space="preserve"> </w:t>
      </w:r>
      <w:r w:rsidRPr="00F21E8E">
        <w:rPr>
          <w:rFonts w:ascii="Rockwell" w:hAnsi="Rockwell"/>
        </w:rPr>
        <w:t xml:space="preserve">como lo ha hecho el </w:t>
      </w:r>
      <w:bookmarkStart w:id="12" w:name="_Hlk177673347"/>
      <w:r w:rsidRPr="00F21E8E">
        <w:rPr>
          <w:rFonts w:ascii="Rockwell" w:hAnsi="Rockwell"/>
          <w:b/>
          <w:bCs/>
        </w:rPr>
        <w:t>Grupo de Trabajo sobre la Trata de Personas</w:t>
      </w:r>
      <w:r w:rsidR="00E40FFC" w:rsidRPr="00F21E8E">
        <w:rPr>
          <w:rFonts w:ascii="Rockwell" w:hAnsi="Rockwell"/>
        </w:rPr>
        <w:t xml:space="preserve"> </w:t>
      </w:r>
      <w:bookmarkEnd w:id="12"/>
      <w:r w:rsidRPr="00F21E8E">
        <w:rPr>
          <w:rFonts w:ascii="Rockwell" w:hAnsi="Rockwell"/>
        </w:rPr>
        <w:t xml:space="preserve">de </w:t>
      </w:r>
      <w:r w:rsidR="00E40FFC" w:rsidRPr="00F21E8E">
        <w:rPr>
          <w:rFonts w:ascii="Rockwell" w:hAnsi="Rockwell"/>
        </w:rPr>
        <w:t>las Naciones</w:t>
      </w:r>
      <w:r w:rsidRPr="00F21E8E">
        <w:rPr>
          <w:rFonts w:ascii="Rockwell" w:hAnsi="Rockwell"/>
        </w:rPr>
        <w:t xml:space="preserve"> Unidas</w:t>
      </w:r>
      <w:r w:rsidR="00AA5019">
        <w:rPr>
          <w:rStyle w:val="Refdenotaalpie"/>
          <w:rFonts w:ascii="Rockwell" w:hAnsi="Rockwell"/>
        </w:rPr>
        <w:footnoteReference w:id="5"/>
      </w:r>
      <w:r w:rsidRPr="00F21E8E">
        <w:rPr>
          <w:rFonts w:ascii="Rockwell" w:hAnsi="Rockwell"/>
        </w:rPr>
        <w:t>, que el principio</w:t>
      </w:r>
      <w:r w:rsidR="00E40FFC" w:rsidRPr="00F21E8E">
        <w:rPr>
          <w:rFonts w:ascii="Rockwell" w:hAnsi="Rockwell"/>
        </w:rPr>
        <w:t xml:space="preserve"> </w:t>
      </w:r>
      <w:r w:rsidRPr="00F21E8E">
        <w:rPr>
          <w:rFonts w:ascii="Rockwell" w:hAnsi="Rockwell"/>
        </w:rPr>
        <w:t>de no punición es una ampliación del de proteger y ayudar a estas</w:t>
      </w:r>
      <w:r w:rsidR="00E40FFC" w:rsidRPr="00F21E8E">
        <w:rPr>
          <w:rFonts w:ascii="Rockwell" w:hAnsi="Rockwell"/>
        </w:rPr>
        <w:t xml:space="preserve"> </w:t>
      </w:r>
      <w:r w:rsidRPr="00F21E8E">
        <w:rPr>
          <w:rFonts w:ascii="Rockwell" w:hAnsi="Rockwell"/>
        </w:rPr>
        <w:t>víctimas. Por ello, que un Estado persiga a víctimas es</w:t>
      </w:r>
      <w:r w:rsidR="00E40FFC" w:rsidRPr="00F21E8E">
        <w:rPr>
          <w:rFonts w:ascii="Rockwell" w:hAnsi="Rockwell"/>
        </w:rPr>
        <w:t xml:space="preserve"> </w:t>
      </w:r>
      <w:r w:rsidRPr="00F21E8E">
        <w:rPr>
          <w:rFonts w:ascii="Rockwell" w:hAnsi="Rockwell"/>
        </w:rPr>
        <w:t>una violación de su derecho a la protección, y del deber de debida</w:t>
      </w:r>
      <w:r w:rsidR="00E40FFC" w:rsidRPr="00F21E8E">
        <w:rPr>
          <w:rFonts w:ascii="Rockwell" w:hAnsi="Rockwell"/>
        </w:rPr>
        <w:t xml:space="preserve"> </w:t>
      </w:r>
      <w:r w:rsidRPr="00F21E8E">
        <w:rPr>
          <w:rFonts w:ascii="Rockwell" w:hAnsi="Rockwell"/>
        </w:rPr>
        <w:t>diligencia respecto a las personas cuyos derechos han sido vulnerados. Aplicar este principio, sin embargo,</w:t>
      </w:r>
      <w:r w:rsidR="00E40FFC" w:rsidRPr="00F21E8E">
        <w:rPr>
          <w:rFonts w:ascii="Rockwell" w:hAnsi="Rockwell"/>
        </w:rPr>
        <w:t xml:space="preserve"> </w:t>
      </w:r>
      <w:r w:rsidRPr="00F21E8E">
        <w:rPr>
          <w:rFonts w:ascii="Rockwell" w:hAnsi="Rockwell"/>
        </w:rPr>
        <w:t>requiere como primer paso identificar previamente a las víctimas, lo</w:t>
      </w:r>
      <w:r w:rsidR="00E40FFC" w:rsidRPr="00F21E8E">
        <w:rPr>
          <w:rFonts w:ascii="Rockwell" w:hAnsi="Rockwell"/>
        </w:rPr>
        <w:t xml:space="preserve"> </w:t>
      </w:r>
      <w:r w:rsidRPr="00F21E8E">
        <w:rPr>
          <w:rFonts w:ascii="Rockwell" w:hAnsi="Rockwell"/>
        </w:rPr>
        <w:t>que exige capacitar a operadores de justicia en la trata con fines de</w:t>
      </w:r>
      <w:r w:rsidR="00E40FFC" w:rsidRPr="00F21E8E">
        <w:rPr>
          <w:rFonts w:ascii="Rockwell" w:hAnsi="Rockwell"/>
        </w:rPr>
        <w:t xml:space="preserve"> </w:t>
      </w:r>
      <w:r w:rsidRPr="00F21E8E">
        <w:rPr>
          <w:rFonts w:ascii="Rockwell" w:hAnsi="Rockwell"/>
        </w:rPr>
        <w:t>explotación criminal, erradicar estereotipos de</w:t>
      </w:r>
      <w:r w:rsidR="00E40FFC" w:rsidRPr="00F21E8E">
        <w:rPr>
          <w:rFonts w:ascii="Rockwell" w:hAnsi="Rockwell"/>
        </w:rPr>
        <w:t xml:space="preserve"> género</w:t>
      </w:r>
      <w:r w:rsidRPr="00F21E8E">
        <w:rPr>
          <w:rFonts w:ascii="Rockwell" w:hAnsi="Rockwell"/>
        </w:rPr>
        <w:t>, garantizar un ambiente propicio para entrevistar a las víctimas, no descartar que se trate de una</w:t>
      </w:r>
      <w:r w:rsidR="00E40FFC" w:rsidRPr="00F21E8E">
        <w:rPr>
          <w:rFonts w:ascii="Rockwell" w:hAnsi="Rockwell"/>
        </w:rPr>
        <w:t xml:space="preserve"> </w:t>
      </w:r>
      <w:r w:rsidRPr="00F21E8E">
        <w:rPr>
          <w:rFonts w:ascii="Rockwell" w:hAnsi="Rockwell"/>
        </w:rPr>
        <w:t xml:space="preserve">víctima en base a la </w:t>
      </w:r>
      <w:r w:rsidR="00E40FFC" w:rsidRPr="00F21E8E">
        <w:rPr>
          <w:rFonts w:ascii="Rockwell" w:hAnsi="Rockwell"/>
        </w:rPr>
        <w:t xml:space="preserve">falta de </w:t>
      </w:r>
      <w:r w:rsidRPr="00F21E8E">
        <w:rPr>
          <w:rFonts w:ascii="Rockwell" w:hAnsi="Rockwell"/>
        </w:rPr>
        <w:t>conciencia de su condición de víctima,</w:t>
      </w:r>
      <w:r w:rsidR="00E40FFC" w:rsidRPr="00F21E8E">
        <w:rPr>
          <w:rFonts w:ascii="Rockwell" w:hAnsi="Rockwell"/>
        </w:rPr>
        <w:t xml:space="preserve"> </w:t>
      </w:r>
      <w:r w:rsidRPr="00F21E8E">
        <w:rPr>
          <w:rFonts w:ascii="Rockwell" w:hAnsi="Rockwell"/>
        </w:rPr>
        <w:t>entre otros</w:t>
      </w:r>
      <w:r w:rsidR="00E5104F" w:rsidRPr="00F21E8E">
        <w:rPr>
          <w:rFonts w:ascii="Rockwell" w:hAnsi="Rockwell"/>
        </w:rPr>
        <w:t>.</w:t>
      </w:r>
    </w:p>
    <w:p w14:paraId="470DC421" w14:textId="50BA335B" w:rsidR="00B22305" w:rsidRDefault="003A6BFF" w:rsidP="00B973CC">
      <w:pPr>
        <w:spacing w:before="120" w:after="0" w:line="240" w:lineRule="auto"/>
        <w:ind w:firstLine="170"/>
        <w:jc w:val="both"/>
        <w:rPr>
          <w:rFonts w:ascii="Rockwell" w:hAnsi="Rockwell"/>
        </w:rPr>
      </w:pPr>
      <w:r>
        <w:rPr>
          <w:rFonts w:ascii="Rockwell" w:hAnsi="Rockwell"/>
        </w:rPr>
        <w:t>S</w:t>
      </w:r>
      <w:r w:rsidR="00B22305" w:rsidRPr="00F21E8E">
        <w:rPr>
          <w:rFonts w:ascii="Rockwell" w:hAnsi="Rockwell"/>
        </w:rPr>
        <w:t xml:space="preserve">i el Estado no tiene una cláusula de no </w:t>
      </w:r>
      <w:r w:rsidR="0029004B" w:rsidRPr="00F21E8E">
        <w:rPr>
          <w:rFonts w:ascii="Rockwell" w:hAnsi="Rockwell"/>
        </w:rPr>
        <w:t>punición en</w:t>
      </w:r>
      <w:r w:rsidR="00B22305" w:rsidRPr="00F21E8E">
        <w:rPr>
          <w:rFonts w:ascii="Rockwell" w:hAnsi="Rockwell"/>
        </w:rPr>
        <w:t xml:space="preserve"> su legislación interna, puede recurrir a figuras propias de la </w:t>
      </w:r>
      <w:r w:rsidR="0029004B" w:rsidRPr="00F21E8E">
        <w:rPr>
          <w:rFonts w:ascii="Rockwell" w:hAnsi="Rockwell"/>
        </w:rPr>
        <w:t>parte general del derecho pen</w:t>
      </w:r>
      <w:r w:rsidR="00B22305" w:rsidRPr="00F21E8E">
        <w:rPr>
          <w:rFonts w:ascii="Rockwell" w:hAnsi="Rockwell"/>
        </w:rPr>
        <w:t>al igualmente aplicables para eximir de</w:t>
      </w:r>
      <w:r w:rsidR="00E40FFC" w:rsidRPr="00F21E8E">
        <w:rPr>
          <w:rFonts w:ascii="Rockwell" w:hAnsi="Rockwell"/>
        </w:rPr>
        <w:t xml:space="preserve"> </w:t>
      </w:r>
      <w:r w:rsidR="0029004B" w:rsidRPr="00F21E8E">
        <w:rPr>
          <w:rFonts w:ascii="Rockwell" w:hAnsi="Rockwell"/>
        </w:rPr>
        <w:t>responsabilidad penal</w:t>
      </w:r>
      <w:r w:rsidR="00B22305" w:rsidRPr="00F21E8E">
        <w:rPr>
          <w:rFonts w:ascii="Rockwell" w:hAnsi="Rockwell"/>
        </w:rPr>
        <w:t xml:space="preserve"> a las víctimas-sobrevivientes </w:t>
      </w:r>
      <w:r w:rsidR="00E5104F" w:rsidRPr="00F21E8E">
        <w:rPr>
          <w:rFonts w:ascii="Rockwell" w:hAnsi="Rockwell"/>
        </w:rPr>
        <w:t>como</w:t>
      </w:r>
      <w:r w:rsidR="00B22305" w:rsidRPr="00F21E8E">
        <w:rPr>
          <w:rFonts w:ascii="Rockwell" w:hAnsi="Rockwell"/>
        </w:rPr>
        <w:t xml:space="preserve"> la</w:t>
      </w:r>
      <w:r w:rsidR="00E40FFC" w:rsidRPr="00F21E8E">
        <w:rPr>
          <w:rFonts w:ascii="Rockwell" w:hAnsi="Rockwell"/>
        </w:rPr>
        <w:t xml:space="preserve"> </w:t>
      </w:r>
      <w:r w:rsidR="00B22305" w:rsidRPr="00F21E8E">
        <w:rPr>
          <w:rFonts w:ascii="Rockwell" w:hAnsi="Rockwell"/>
        </w:rPr>
        <w:t xml:space="preserve">no exigibilidad de otra conducta a través del estado de </w:t>
      </w:r>
      <w:r w:rsidR="0029004B" w:rsidRPr="00F21E8E">
        <w:rPr>
          <w:rFonts w:ascii="Rockwell" w:hAnsi="Rockwell"/>
        </w:rPr>
        <w:t>necesidad exculpante</w:t>
      </w:r>
      <w:r w:rsidR="00B22305" w:rsidRPr="00F21E8E">
        <w:rPr>
          <w:rFonts w:ascii="Rockwell" w:hAnsi="Rockwell"/>
        </w:rPr>
        <w:t xml:space="preserve"> o el miedo insuperable, a nivel del juicio de culpabilidad.</w:t>
      </w:r>
    </w:p>
    <w:p w14:paraId="6A3F40BF" w14:textId="77777777" w:rsidR="00C42832" w:rsidRPr="00F21E8E" w:rsidRDefault="00C42832" w:rsidP="00B973CC">
      <w:pPr>
        <w:spacing w:before="120" w:after="0" w:line="240" w:lineRule="auto"/>
        <w:ind w:firstLine="170"/>
        <w:jc w:val="both"/>
        <w:rPr>
          <w:rFonts w:ascii="Rockwell" w:hAnsi="Rockwell"/>
        </w:rPr>
      </w:pPr>
    </w:p>
    <w:p w14:paraId="7629FB7A" w14:textId="6CE12773" w:rsidR="00B22305" w:rsidRPr="00F21E8E" w:rsidRDefault="00B22305" w:rsidP="00B973CC">
      <w:pPr>
        <w:spacing w:before="120" w:after="0" w:line="240" w:lineRule="auto"/>
        <w:ind w:firstLine="170"/>
        <w:jc w:val="both"/>
        <w:rPr>
          <w:rFonts w:ascii="Rockwell" w:hAnsi="Rockwell"/>
          <w:b/>
          <w:bCs/>
        </w:rPr>
      </w:pPr>
      <w:r w:rsidRPr="00F21E8E">
        <w:rPr>
          <w:rFonts w:ascii="Rockwell" w:hAnsi="Rockwell"/>
          <w:b/>
          <w:bCs/>
        </w:rPr>
        <w:t>El derecho a una reparación integral</w:t>
      </w:r>
    </w:p>
    <w:p w14:paraId="1916D0EE" w14:textId="6A8EF3A4" w:rsidR="00734F09" w:rsidRPr="00F21E8E" w:rsidRDefault="00B22305" w:rsidP="00B973CC">
      <w:pPr>
        <w:spacing w:before="120" w:after="0" w:line="240" w:lineRule="auto"/>
        <w:ind w:firstLine="170"/>
        <w:jc w:val="both"/>
        <w:rPr>
          <w:rFonts w:ascii="Rockwell" w:hAnsi="Rockwell"/>
        </w:rPr>
      </w:pPr>
      <w:r w:rsidRPr="00F21E8E">
        <w:rPr>
          <w:rFonts w:ascii="Rockwell" w:hAnsi="Rockwell"/>
        </w:rPr>
        <w:t>Es un derecho de quienes han visto vulnerados sus derechos o</w:t>
      </w:r>
      <w:r w:rsidR="00734F09" w:rsidRPr="00F21E8E">
        <w:rPr>
          <w:rFonts w:ascii="Rockwell" w:hAnsi="Rockwell"/>
        </w:rPr>
        <w:t xml:space="preserve"> </w:t>
      </w:r>
      <w:r w:rsidRPr="00F21E8E">
        <w:rPr>
          <w:rFonts w:ascii="Rockwell" w:hAnsi="Rockwell"/>
        </w:rPr>
        <w:t xml:space="preserve">libertades acceder a un remedio efectivo. </w:t>
      </w:r>
      <w:r w:rsidR="0029004B" w:rsidRPr="00F21E8E">
        <w:rPr>
          <w:rFonts w:ascii="Rockwell" w:hAnsi="Rockwell"/>
        </w:rPr>
        <w:t>La reparación</w:t>
      </w:r>
      <w:r w:rsidRPr="00F21E8E">
        <w:rPr>
          <w:rFonts w:ascii="Rockwell" w:hAnsi="Rockwell"/>
        </w:rPr>
        <w:t xml:space="preserve"> integral permite a las víctimas </w:t>
      </w:r>
      <w:r w:rsidR="0029004B" w:rsidRPr="00F21E8E">
        <w:rPr>
          <w:rFonts w:ascii="Rockwell" w:hAnsi="Rockwell"/>
        </w:rPr>
        <w:t>recuperarse y</w:t>
      </w:r>
      <w:r w:rsidRPr="00F21E8E">
        <w:rPr>
          <w:rFonts w:ascii="Rockwell" w:hAnsi="Rockwell"/>
        </w:rPr>
        <w:t xml:space="preserve"> retomar su proyecto de vida. Este derecho consta de los </w:t>
      </w:r>
      <w:r w:rsidR="00734F09" w:rsidRPr="00F21E8E">
        <w:rPr>
          <w:rFonts w:ascii="Rockwell" w:hAnsi="Rockwell"/>
        </w:rPr>
        <w:t>siguientes elementos</w:t>
      </w:r>
      <w:r w:rsidRPr="00F21E8E">
        <w:rPr>
          <w:rFonts w:ascii="Rockwell" w:hAnsi="Rockwell"/>
        </w:rPr>
        <w:t xml:space="preserve">: </w:t>
      </w:r>
    </w:p>
    <w:p w14:paraId="654613A2" w14:textId="0CE2B53E" w:rsidR="00734F09" w:rsidRPr="00F21E8E" w:rsidRDefault="00734F09" w:rsidP="00B973CC">
      <w:pPr>
        <w:pStyle w:val="Prrafodelista"/>
        <w:numPr>
          <w:ilvl w:val="0"/>
          <w:numId w:val="6"/>
        </w:numPr>
        <w:spacing w:before="120" w:after="0" w:line="240" w:lineRule="auto"/>
        <w:ind w:left="884" w:hanging="357"/>
        <w:contextualSpacing w:val="0"/>
        <w:jc w:val="both"/>
        <w:rPr>
          <w:rFonts w:ascii="Rockwell" w:hAnsi="Rockwell"/>
          <w:i/>
          <w:iCs/>
        </w:rPr>
      </w:pPr>
      <w:r w:rsidRPr="00F21E8E">
        <w:rPr>
          <w:rFonts w:ascii="Rockwell" w:hAnsi="Rockwell"/>
          <w:i/>
          <w:iCs/>
        </w:rPr>
        <w:t>R</w:t>
      </w:r>
      <w:r w:rsidR="00B22305" w:rsidRPr="00F21E8E">
        <w:rPr>
          <w:rFonts w:ascii="Rockwell" w:hAnsi="Rockwell"/>
          <w:i/>
          <w:iCs/>
        </w:rPr>
        <w:t>estitución</w:t>
      </w:r>
      <w:r w:rsidRPr="00F21E8E">
        <w:rPr>
          <w:rFonts w:ascii="Rockwell" w:hAnsi="Rockwell"/>
          <w:i/>
          <w:iCs/>
        </w:rPr>
        <w:t xml:space="preserve">: </w:t>
      </w:r>
      <w:r w:rsidR="00B22305" w:rsidRPr="00F21E8E">
        <w:rPr>
          <w:rFonts w:ascii="Rockwell" w:hAnsi="Rockwell"/>
          <w:i/>
          <w:iCs/>
        </w:rPr>
        <w:t xml:space="preserve">restituir a la víctima a la situación previa </w:t>
      </w:r>
      <w:r w:rsidRPr="00F21E8E">
        <w:rPr>
          <w:rFonts w:ascii="Rockwell" w:hAnsi="Rockwell"/>
          <w:i/>
          <w:iCs/>
        </w:rPr>
        <w:t>a la</w:t>
      </w:r>
      <w:r w:rsidR="00B22305" w:rsidRPr="00F21E8E">
        <w:rPr>
          <w:rFonts w:ascii="Rockwell" w:hAnsi="Rockwell"/>
          <w:i/>
          <w:iCs/>
        </w:rPr>
        <w:t xml:space="preserve"> vulneración de sus derechos; </w:t>
      </w:r>
    </w:p>
    <w:p w14:paraId="686CD797" w14:textId="16229758" w:rsidR="00734F09" w:rsidRPr="00F21E8E" w:rsidRDefault="00734F09" w:rsidP="00B973CC">
      <w:pPr>
        <w:pStyle w:val="Prrafodelista"/>
        <w:numPr>
          <w:ilvl w:val="0"/>
          <w:numId w:val="6"/>
        </w:numPr>
        <w:spacing w:before="120" w:after="0" w:line="240" w:lineRule="auto"/>
        <w:ind w:left="884" w:hanging="357"/>
        <w:contextualSpacing w:val="0"/>
        <w:jc w:val="both"/>
        <w:rPr>
          <w:rFonts w:ascii="Rockwell" w:hAnsi="Rockwell"/>
          <w:i/>
          <w:iCs/>
        </w:rPr>
      </w:pPr>
      <w:r w:rsidRPr="00F21E8E">
        <w:rPr>
          <w:rFonts w:ascii="Rockwell" w:hAnsi="Rockwell"/>
          <w:i/>
          <w:iCs/>
        </w:rPr>
        <w:t>C</w:t>
      </w:r>
      <w:r w:rsidR="00B22305" w:rsidRPr="00F21E8E">
        <w:rPr>
          <w:rFonts w:ascii="Rockwell" w:hAnsi="Rockwell"/>
          <w:i/>
          <w:iCs/>
        </w:rPr>
        <w:t xml:space="preserve">ompensación o </w:t>
      </w:r>
      <w:r w:rsidRPr="00F21E8E">
        <w:rPr>
          <w:rFonts w:ascii="Rockwell" w:hAnsi="Rockwell"/>
          <w:i/>
          <w:iCs/>
        </w:rPr>
        <w:t xml:space="preserve">indemnización: </w:t>
      </w:r>
      <w:r w:rsidR="00B22305" w:rsidRPr="00F21E8E">
        <w:rPr>
          <w:rFonts w:ascii="Rockwell" w:hAnsi="Rockwell"/>
          <w:i/>
          <w:iCs/>
        </w:rPr>
        <w:t xml:space="preserve">asignación económica que compensa los daños; </w:t>
      </w:r>
    </w:p>
    <w:p w14:paraId="2988D5AD" w14:textId="08B2DC5F" w:rsidR="00734F09" w:rsidRPr="00F21E8E" w:rsidRDefault="00734F09" w:rsidP="00B973CC">
      <w:pPr>
        <w:pStyle w:val="Prrafodelista"/>
        <w:numPr>
          <w:ilvl w:val="0"/>
          <w:numId w:val="6"/>
        </w:numPr>
        <w:spacing w:before="120" w:after="0" w:line="240" w:lineRule="auto"/>
        <w:ind w:left="884" w:hanging="357"/>
        <w:contextualSpacing w:val="0"/>
        <w:jc w:val="both"/>
        <w:rPr>
          <w:rFonts w:ascii="Rockwell" w:hAnsi="Rockwell"/>
          <w:i/>
          <w:iCs/>
        </w:rPr>
      </w:pPr>
      <w:r w:rsidRPr="00F21E8E">
        <w:rPr>
          <w:rFonts w:ascii="Rockwell" w:hAnsi="Rockwell"/>
          <w:i/>
          <w:iCs/>
        </w:rPr>
        <w:t xml:space="preserve">Rehabilitación: </w:t>
      </w:r>
      <w:r w:rsidR="00B22305" w:rsidRPr="00F21E8E">
        <w:rPr>
          <w:rFonts w:ascii="Rockwell" w:hAnsi="Rockwell"/>
          <w:i/>
          <w:iCs/>
        </w:rPr>
        <w:t xml:space="preserve">atención médica y psicológica, asesoría legal, servicios </w:t>
      </w:r>
      <w:r w:rsidRPr="00F21E8E">
        <w:rPr>
          <w:rFonts w:ascii="Rockwell" w:hAnsi="Rockwell"/>
          <w:i/>
          <w:iCs/>
        </w:rPr>
        <w:t>sociales para</w:t>
      </w:r>
      <w:r w:rsidR="00B22305" w:rsidRPr="00F21E8E">
        <w:rPr>
          <w:rFonts w:ascii="Rockwell" w:hAnsi="Rockwell"/>
          <w:i/>
          <w:iCs/>
        </w:rPr>
        <w:t xml:space="preserve"> eliminar o mitigar las consecuencias del daño; </w:t>
      </w:r>
    </w:p>
    <w:p w14:paraId="18809EFA" w14:textId="726F8A1B" w:rsidR="00B22305" w:rsidRPr="00F21E8E" w:rsidRDefault="00734F09" w:rsidP="00B973CC">
      <w:pPr>
        <w:pStyle w:val="Prrafodelista"/>
        <w:numPr>
          <w:ilvl w:val="0"/>
          <w:numId w:val="6"/>
        </w:numPr>
        <w:spacing w:before="120" w:after="0" w:line="240" w:lineRule="auto"/>
        <w:ind w:left="884" w:hanging="357"/>
        <w:contextualSpacing w:val="0"/>
        <w:jc w:val="both"/>
        <w:rPr>
          <w:rFonts w:ascii="Rockwell" w:hAnsi="Rockwell"/>
          <w:i/>
          <w:iCs/>
        </w:rPr>
      </w:pPr>
      <w:r w:rsidRPr="00F21E8E">
        <w:rPr>
          <w:rFonts w:ascii="Rockwell" w:hAnsi="Rockwell"/>
          <w:i/>
          <w:iCs/>
        </w:rPr>
        <w:t>M</w:t>
      </w:r>
      <w:r w:rsidR="00B22305" w:rsidRPr="00F21E8E">
        <w:rPr>
          <w:rFonts w:ascii="Rockwell" w:hAnsi="Rockwell"/>
          <w:i/>
          <w:iCs/>
        </w:rPr>
        <w:t>edidas de no repetición</w:t>
      </w:r>
      <w:r w:rsidR="00857C5E" w:rsidRPr="00F21E8E">
        <w:rPr>
          <w:rFonts w:ascii="Rockwell" w:hAnsi="Rockwell"/>
          <w:i/>
          <w:iCs/>
        </w:rPr>
        <w:t xml:space="preserve">: </w:t>
      </w:r>
      <w:r w:rsidR="00B22305" w:rsidRPr="00F21E8E">
        <w:rPr>
          <w:rFonts w:ascii="Rockwell" w:hAnsi="Rockwell"/>
          <w:i/>
          <w:iCs/>
        </w:rPr>
        <w:t>medidas legislativas, administrativas,</w:t>
      </w:r>
      <w:r w:rsidRPr="00F21E8E">
        <w:rPr>
          <w:rFonts w:ascii="Rockwell" w:hAnsi="Rockwell"/>
          <w:i/>
          <w:iCs/>
        </w:rPr>
        <w:t xml:space="preserve"> </w:t>
      </w:r>
      <w:r w:rsidR="00B22305" w:rsidRPr="00F21E8E">
        <w:rPr>
          <w:rFonts w:ascii="Rockwell" w:hAnsi="Rockwell"/>
          <w:i/>
          <w:iCs/>
        </w:rPr>
        <w:t>judiciales para que el daño no se repita.</w:t>
      </w:r>
    </w:p>
    <w:p w14:paraId="0308BA4A" w14:textId="2149F5B8"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En la trata de personas, la reparación suele centrarse en la</w:t>
      </w:r>
      <w:r w:rsidR="00857C5E" w:rsidRPr="00F21E8E">
        <w:rPr>
          <w:rFonts w:ascii="Rockwell" w:hAnsi="Rockwell"/>
        </w:rPr>
        <w:t xml:space="preserve"> </w:t>
      </w:r>
      <w:r w:rsidRPr="00F21E8E">
        <w:rPr>
          <w:rFonts w:ascii="Rockwell" w:hAnsi="Rockwell"/>
        </w:rPr>
        <w:t>compensación económica. Asimismo, en constantes ocasiones, las</w:t>
      </w:r>
      <w:r w:rsidR="00857C5E" w:rsidRPr="00F21E8E">
        <w:rPr>
          <w:rFonts w:ascii="Rockwell" w:hAnsi="Rockwell"/>
        </w:rPr>
        <w:t xml:space="preserve"> </w:t>
      </w:r>
      <w:r w:rsidRPr="00F21E8E">
        <w:rPr>
          <w:rFonts w:ascii="Rockwell" w:hAnsi="Rockwell"/>
        </w:rPr>
        <w:t>reparaciones civiles son escuetas y no permiten superar la condición</w:t>
      </w:r>
      <w:r w:rsidR="00857C5E" w:rsidRPr="00F21E8E">
        <w:rPr>
          <w:rFonts w:ascii="Rockwell" w:hAnsi="Rockwell"/>
        </w:rPr>
        <w:t xml:space="preserve"> </w:t>
      </w:r>
      <w:r w:rsidRPr="00F21E8E">
        <w:rPr>
          <w:rFonts w:ascii="Rockwell" w:hAnsi="Rockwell"/>
        </w:rPr>
        <w:t>de vulnerabilidad de las víctimas, además, de no</w:t>
      </w:r>
      <w:r w:rsidR="00857C5E" w:rsidRPr="00F21E8E">
        <w:rPr>
          <w:rFonts w:ascii="Rockwell" w:hAnsi="Rockwell"/>
        </w:rPr>
        <w:t xml:space="preserve"> </w:t>
      </w:r>
      <w:r w:rsidRPr="00F21E8E">
        <w:rPr>
          <w:rFonts w:ascii="Rockwell" w:hAnsi="Rockwell"/>
        </w:rPr>
        <w:t>dársele una participación importante en la determinación del monto.</w:t>
      </w:r>
    </w:p>
    <w:p w14:paraId="0AA42291" w14:textId="1B20F947" w:rsidR="00B22305" w:rsidRDefault="00097E00" w:rsidP="00B973CC">
      <w:pPr>
        <w:spacing w:before="120" w:after="0" w:line="240" w:lineRule="auto"/>
        <w:ind w:firstLine="170"/>
        <w:jc w:val="both"/>
        <w:rPr>
          <w:rFonts w:ascii="Rockwell" w:hAnsi="Rockwell"/>
        </w:rPr>
      </w:pPr>
      <w:r w:rsidRPr="00E27F2B">
        <w:rPr>
          <w:rFonts w:ascii="Rockwell" w:hAnsi="Rockwell"/>
          <w:noProof/>
        </w:rPr>
        <w:lastRenderedPageBreak/>
        <w:drawing>
          <wp:anchor distT="0" distB="0" distL="114300" distR="114300" simplePos="0" relativeHeight="251670528" behindDoc="0" locked="0" layoutInCell="1" allowOverlap="1" wp14:anchorId="66286054" wp14:editId="6C2C4909">
            <wp:simplePos x="0" y="0"/>
            <wp:positionH relativeFrom="margin">
              <wp:align>left</wp:align>
            </wp:positionH>
            <wp:positionV relativeFrom="paragraph">
              <wp:posOffset>0</wp:posOffset>
            </wp:positionV>
            <wp:extent cx="6155690" cy="3462020"/>
            <wp:effectExtent l="0" t="0" r="0" b="5080"/>
            <wp:wrapSquare wrapText="bothSides"/>
            <wp:docPr id="1712206415" name="Imagen 4" descr="Autoridades y sociedad civil contra la trata de personas | MCL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ridades y sociedad civil contra la trata de personas | MCLC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5690" cy="346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B22305" w:rsidRPr="00F21E8E">
        <w:rPr>
          <w:rFonts w:ascii="Rockwell" w:hAnsi="Rockwell"/>
        </w:rPr>
        <w:t>Un enfoque centrado en la víctima exige explorar e identificar en</w:t>
      </w:r>
      <w:r w:rsidR="00857C5E" w:rsidRPr="00F21E8E">
        <w:rPr>
          <w:rFonts w:ascii="Rockwell" w:hAnsi="Rockwell"/>
        </w:rPr>
        <w:t xml:space="preserve"> </w:t>
      </w:r>
      <w:r w:rsidR="00B22305" w:rsidRPr="00F21E8E">
        <w:rPr>
          <w:rFonts w:ascii="Rockwell" w:hAnsi="Rockwell"/>
        </w:rPr>
        <w:t>cada caso las necesidades y preocupaciones de las víctimas</w:t>
      </w:r>
      <w:r w:rsidR="000D0E61" w:rsidRPr="00F21E8E">
        <w:rPr>
          <w:rFonts w:ascii="Rockwell" w:hAnsi="Rockwell"/>
        </w:rPr>
        <w:t xml:space="preserve"> </w:t>
      </w:r>
      <w:r w:rsidR="00B22305" w:rsidRPr="00F21E8E">
        <w:rPr>
          <w:rFonts w:ascii="Rockwell" w:hAnsi="Rockwell"/>
        </w:rPr>
        <w:t>sobrevivientes, a efectos de incluirl</w:t>
      </w:r>
      <w:r w:rsidR="003A6BFF">
        <w:rPr>
          <w:rFonts w:ascii="Rockwell" w:hAnsi="Rockwell"/>
        </w:rPr>
        <w:t>a</w:t>
      </w:r>
      <w:r w:rsidR="00B22305" w:rsidRPr="00F21E8E">
        <w:rPr>
          <w:rFonts w:ascii="Rockwell" w:hAnsi="Rockwell"/>
        </w:rPr>
        <w:t>s como parte de su derecho a</w:t>
      </w:r>
      <w:r w:rsidR="00857C5E" w:rsidRPr="00F21E8E">
        <w:rPr>
          <w:rFonts w:ascii="Rockwell" w:hAnsi="Rockwell"/>
        </w:rPr>
        <w:t xml:space="preserve"> </w:t>
      </w:r>
      <w:r w:rsidR="00B22305" w:rsidRPr="00F21E8E">
        <w:rPr>
          <w:rFonts w:ascii="Rockwell" w:hAnsi="Rockwell"/>
        </w:rPr>
        <w:t>una reparación integral. Ello debe considerar la recuperación física,</w:t>
      </w:r>
      <w:r w:rsidR="00857C5E" w:rsidRPr="00F21E8E">
        <w:rPr>
          <w:rFonts w:ascii="Rockwell" w:hAnsi="Rockwell"/>
        </w:rPr>
        <w:t xml:space="preserve"> </w:t>
      </w:r>
      <w:r w:rsidR="00B22305" w:rsidRPr="00F21E8E">
        <w:rPr>
          <w:rFonts w:ascii="Rockwell" w:hAnsi="Rockwell"/>
        </w:rPr>
        <w:t xml:space="preserve">psicológica y social conforme lo determina el artículo 6 del </w:t>
      </w:r>
      <w:r w:rsidR="00B22305" w:rsidRPr="00F21E8E">
        <w:rPr>
          <w:rFonts w:ascii="Rockwell" w:hAnsi="Rockwell"/>
          <w:b/>
          <w:bCs/>
        </w:rPr>
        <w:t>Protocolo</w:t>
      </w:r>
      <w:r w:rsidR="00857C5E" w:rsidRPr="00F21E8E">
        <w:rPr>
          <w:rFonts w:ascii="Rockwell" w:hAnsi="Rockwell"/>
          <w:b/>
          <w:bCs/>
        </w:rPr>
        <w:t xml:space="preserve"> </w:t>
      </w:r>
      <w:r w:rsidR="00B22305" w:rsidRPr="00F21E8E">
        <w:rPr>
          <w:rFonts w:ascii="Rockwell" w:hAnsi="Rockwell"/>
          <w:b/>
          <w:bCs/>
        </w:rPr>
        <w:t>de Palermo.</w:t>
      </w:r>
      <w:r w:rsidR="00B22305" w:rsidRPr="00F21E8E">
        <w:rPr>
          <w:rFonts w:ascii="Rockwell" w:hAnsi="Rockwell"/>
        </w:rPr>
        <w:t xml:space="preserve"> </w:t>
      </w:r>
    </w:p>
    <w:p w14:paraId="4F78AA0F" w14:textId="041562CA" w:rsidR="00C42832" w:rsidRDefault="00C42832" w:rsidP="00B973CC">
      <w:pPr>
        <w:spacing w:before="120" w:after="0" w:line="240" w:lineRule="auto"/>
        <w:ind w:firstLine="170"/>
        <w:jc w:val="both"/>
        <w:rPr>
          <w:rFonts w:ascii="Rockwell" w:hAnsi="Rockwell"/>
        </w:rPr>
      </w:pPr>
    </w:p>
    <w:p w14:paraId="79F4F7BD" w14:textId="73BFAB71" w:rsidR="00735D87" w:rsidRPr="00735D87" w:rsidRDefault="00735D87" w:rsidP="00B973CC">
      <w:pPr>
        <w:spacing w:before="120" w:after="0" w:line="240" w:lineRule="auto"/>
        <w:ind w:firstLine="170"/>
        <w:jc w:val="both"/>
        <w:rPr>
          <w:rFonts w:ascii="Rockwell" w:hAnsi="Rockwell"/>
          <w:b/>
          <w:bCs/>
        </w:rPr>
      </w:pPr>
      <w:r w:rsidRPr="00735D87">
        <w:rPr>
          <w:rFonts w:ascii="Rockwell" w:hAnsi="Rockwell"/>
          <w:b/>
          <w:bCs/>
        </w:rPr>
        <w:t>Reparación civil debe darse aún si la sentencia ha sido absolutoria</w:t>
      </w:r>
    </w:p>
    <w:p w14:paraId="7E9C903A" w14:textId="482DE629" w:rsidR="00B22305" w:rsidRPr="00F21E8E" w:rsidRDefault="00EC5931" w:rsidP="00B973CC">
      <w:pPr>
        <w:spacing w:before="120" w:after="0" w:line="240" w:lineRule="auto"/>
        <w:ind w:firstLine="170"/>
        <w:jc w:val="both"/>
        <w:rPr>
          <w:rFonts w:ascii="Rockwell" w:hAnsi="Rockwell"/>
        </w:rPr>
      </w:pPr>
      <w:r>
        <w:rPr>
          <w:rFonts w:ascii="Rockwell" w:hAnsi="Rockwell"/>
        </w:rPr>
        <w:t>C</w:t>
      </w:r>
      <w:r w:rsidR="00B22305" w:rsidRPr="00F21E8E">
        <w:rPr>
          <w:rFonts w:ascii="Rockwell" w:hAnsi="Rockwell"/>
        </w:rPr>
        <w:t xml:space="preserve">onforme </w:t>
      </w:r>
      <w:r>
        <w:rPr>
          <w:rFonts w:ascii="Rockwell" w:hAnsi="Rockwell"/>
        </w:rPr>
        <w:t>a</w:t>
      </w:r>
      <w:r w:rsidR="00B22305" w:rsidRPr="00F21E8E">
        <w:rPr>
          <w:rFonts w:ascii="Rockwell" w:hAnsi="Rockwell"/>
        </w:rPr>
        <w:t>l artículo 12, inciso 3 del Código</w:t>
      </w:r>
      <w:r w:rsidR="00857C5E" w:rsidRPr="00F21E8E">
        <w:rPr>
          <w:rFonts w:ascii="Rockwell" w:hAnsi="Rockwell"/>
        </w:rPr>
        <w:t xml:space="preserve"> </w:t>
      </w:r>
      <w:r w:rsidR="00B22305" w:rsidRPr="00F21E8E">
        <w:rPr>
          <w:rFonts w:ascii="Rockwell" w:hAnsi="Rockwell"/>
        </w:rPr>
        <w:t>Procesal Penal</w:t>
      </w:r>
      <w:r w:rsidR="00857C5E" w:rsidRPr="00F21E8E">
        <w:rPr>
          <w:rFonts w:ascii="Rockwell" w:hAnsi="Rockwell"/>
        </w:rPr>
        <w:t xml:space="preserve"> del </w:t>
      </w:r>
      <w:r w:rsidR="0029004B" w:rsidRPr="00F21E8E">
        <w:rPr>
          <w:rFonts w:ascii="Rockwell" w:hAnsi="Rockwell"/>
        </w:rPr>
        <w:t>Perú</w:t>
      </w:r>
      <w:r w:rsidR="00B22305" w:rsidRPr="00F21E8E">
        <w:rPr>
          <w:rFonts w:ascii="Rockwell" w:hAnsi="Rockwell"/>
        </w:rPr>
        <w:t xml:space="preserve">, la </w:t>
      </w:r>
      <w:bookmarkStart w:id="13" w:name="_Hlk177673483"/>
      <w:r w:rsidR="00B22305" w:rsidRPr="00F21E8E">
        <w:rPr>
          <w:rFonts w:ascii="Rockwell" w:hAnsi="Rockwell"/>
        </w:rPr>
        <w:t>reparación civil debe darse aún si la sentencia ha</w:t>
      </w:r>
      <w:r w:rsidR="00857C5E" w:rsidRPr="00F21E8E">
        <w:rPr>
          <w:rFonts w:ascii="Rockwell" w:hAnsi="Rockwell"/>
        </w:rPr>
        <w:t xml:space="preserve"> </w:t>
      </w:r>
      <w:r w:rsidR="00B22305" w:rsidRPr="00F21E8E">
        <w:rPr>
          <w:rFonts w:ascii="Rockwell" w:hAnsi="Rockwell"/>
        </w:rPr>
        <w:t>sido absolutoria</w:t>
      </w:r>
      <w:bookmarkEnd w:id="13"/>
      <w:r w:rsidR="00B22305" w:rsidRPr="00F21E8E">
        <w:rPr>
          <w:rFonts w:ascii="Rockwell" w:hAnsi="Rockwell"/>
        </w:rPr>
        <w:t xml:space="preserve">; por lo que, jueces y juezas han de resolver el </w:t>
      </w:r>
      <w:r w:rsidR="0029004B" w:rsidRPr="00F21E8E">
        <w:rPr>
          <w:rFonts w:ascii="Rockwell" w:hAnsi="Rockwell"/>
        </w:rPr>
        <w:t>extremo de</w:t>
      </w:r>
      <w:r w:rsidR="00B22305" w:rsidRPr="00F21E8E">
        <w:rPr>
          <w:rFonts w:ascii="Rockwell" w:hAnsi="Rockwell"/>
        </w:rPr>
        <w:t xml:space="preserve"> la reparación, y no condicionarlo a la pena de la persona tratante.</w:t>
      </w:r>
    </w:p>
    <w:p w14:paraId="143B3FC6" w14:textId="384A69E9" w:rsidR="00B22305" w:rsidRPr="00F21E8E" w:rsidRDefault="00EC5931" w:rsidP="00B973CC">
      <w:pPr>
        <w:spacing w:before="120" w:after="0" w:line="240" w:lineRule="auto"/>
        <w:ind w:firstLine="170"/>
        <w:jc w:val="both"/>
        <w:rPr>
          <w:rFonts w:ascii="Rockwell" w:hAnsi="Rockwell"/>
        </w:rPr>
      </w:pPr>
      <w:r>
        <w:rPr>
          <w:rFonts w:ascii="Rockwell" w:hAnsi="Rockwell"/>
        </w:rPr>
        <w:t>Es</w:t>
      </w:r>
      <w:r w:rsidR="00B22305" w:rsidRPr="00F21E8E">
        <w:rPr>
          <w:rFonts w:ascii="Rockwell" w:hAnsi="Rockwell"/>
        </w:rPr>
        <w:t xml:space="preserve"> importante recordar que la </w:t>
      </w:r>
      <w:r w:rsidR="0029004B" w:rsidRPr="00F21E8E">
        <w:rPr>
          <w:rFonts w:ascii="Rockwell" w:hAnsi="Rockwell"/>
        </w:rPr>
        <w:t>L</w:t>
      </w:r>
      <w:r w:rsidR="00B22305" w:rsidRPr="00F21E8E">
        <w:rPr>
          <w:rFonts w:ascii="Rockwell" w:hAnsi="Rockwell"/>
        </w:rPr>
        <w:t>ey 31146 de marzo de 2022</w:t>
      </w:r>
      <w:r w:rsidR="00857C5E" w:rsidRPr="00F21E8E">
        <w:rPr>
          <w:rFonts w:ascii="Rockwell" w:hAnsi="Rockwell"/>
        </w:rPr>
        <w:t xml:space="preserve"> </w:t>
      </w:r>
      <w:r w:rsidR="00B22305" w:rsidRPr="00F21E8E">
        <w:rPr>
          <w:rFonts w:ascii="Rockwell" w:hAnsi="Rockwell"/>
        </w:rPr>
        <w:t xml:space="preserve">incorporó el artículo 9 en la </w:t>
      </w:r>
      <w:r w:rsidR="0029004B" w:rsidRPr="00F21E8E">
        <w:rPr>
          <w:rFonts w:ascii="Rockwell" w:hAnsi="Rockwell"/>
        </w:rPr>
        <w:t>L</w:t>
      </w:r>
      <w:r w:rsidR="00B22305" w:rsidRPr="00F21E8E">
        <w:rPr>
          <w:rFonts w:ascii="Rockwell" w:hAnsi="Rockwell"/>
        </w:rPr>
        <w:t xml:space="preserve">ey 28950 contra la </w:t>
      </w:r>
      <w:r w:rsidR="0029004B" w:rsidRPr="00F21E8E">
        <w:rPr>
          <w:rFonts w:ascii="Rockwell" w:hAnsi="Rockwell"/>
        </w:rPr>
        <w:t>trata de personas y el tráfico ilícito de migrantes</w:t>
      </w:r>
      <w:r w:rsidR="00B22305" w:rsidRPr="00F21E8E">
        <w:rPr>
          <w:rFonts w:ascii="Rockwell" w:hAnsi="Rockwell"/>
        </w:rPr>
        <w:t>, que señala que, en los delitos de trata de</w:t>
      </w:r>
      <w:r w:rsidR="00F62381" w:rsidRPr="00F21E8E">
        <w:rPr>
          <w:rFonts w:ascii="Rockwell" w:hAnsi="Rockwell"/>
        </w:rPr>
        <w:t xml:space="preserve"> </w:t>
      </w:r>
      <w:r w:rsidR="00B22305" w:rsidRPr="00F21E8E">
        <w:rPr>
          <w:rFonts w:ascii="Rockwell" w:hAnsi="Rockwell"/>
        </w:rPr>
        <w:t>personas y explotación, la reparación civil debe incluir “como mínimo,</w:t>
      </w:r>
      <w:r w:rsidR="0029004B" w:rsidRPr="00F21E8E">
        <w:rPr>
          <w:rFonts w:ascii="Rockwell" w:hAnsi="Rockwell"/>
        </w:rPr>
        <w:t xml:space="preserve"> </w:t>
      </w:r>
      <w:r w:rsidR="00B22305" w:rsidRPr="00F21E8E">
        <w:rPr>
          <w:rFonts w:ascii="Rockwell" w:hAnsi="Rockwell"/>
        </w:rPr>
        <w:t>los salarios impagos; los costos que demande su tratamiento médico,</w:t>
      </w:r>
      <w:r w:rsidR="0029004B" w:rsidRPr="00F21E8E">
        <w:rPr>
          <w:rFonts w:ascii="Rockwell" w:hAnsi="Rockwell"/>
        </w:rPr>
        <w:t xml:space="preserve"> </w:t>
      </w:r>
      <w:r w:rsidR="00B22305" w:rsidRPr="00F21E8E">
        <w:rPr>
          <w:rFonts w:ascii="Rockwell" w:hAnsi="Rockwell"/>
        </w:rPr>
        <w:t>siquiátrico y sicológico; los costos de su rehabilitación física, social y</w:t>
      </w:r>
      <w:r w:rsidR="0029004B" w:rsidRPr="00F21E8E">
        <w:rPr>
          <w:rFonts w:ascii="Rockwell" w:hAnsi="Rockwell"/>
        </w:rPr>
        <w:t xml:space="preserve"> </w:t>
      </w:r>
      <w:r w:rsidR="00B22305" w:rsidRPr="00F21E8E">
        <w:rPr>
          <w:rFonts w:ascii="Rockwell" w:hAnsi="Rockwell"/>
        </w:rPr>
        <w:t>ocupacional, y una indemnización por la pérdida de oportunidades,</w:t>
      </w:r>
      <w:r w:rsidR="0029004B" w:rsidRPr="00F21E8E">
        <w:rPr>
          <w:rFonts w:ascii="Rockwell" w:hAnsi="Rockwell"/>
        </w:rPr>
        <w:t xml:space="preserve"> </w:t>
      </w:r>
      <w:r w:rsidR="00B22305" w:rsidRPr="00F21E8E">
        <w:rPr>
          <w:rFonts w:ascii="Rockwell" w:hAnsi="Rockwell"/>
        </w:rPr>
        <w:t>empleo, educación y prestaciones sociales”.</w:t>
      </w:r>
    </w:p>
    <w:p w14:paraId="7B90200E" w14:textId="5682968D" w:rsidR="000D0E61" w:rsidRPr="00F21E8E" w:rsidRDefault="00B22305" w:rsidP="00B973CC">
      <w:pPr>
        <w:spacing w:before="120" w:after="0" w:line="240" w:lineRule="auto"/>
        <w:ind w:firstLine="170"/>
        <w:jc w:val="both"/>
        <w:rPr>
          <w:rFonts w:ascii="Rockwell" w:hAnsi="Rockwell"/>
        </w:rPr>
      </w:pPr>
      <w:r w:rsidRPr="00F21E8E">
        <w:rPr>
          <w:rFonts w:ascii="Rockwell" w:hAnsi="Rockwell"/>
        </w:rPr>
        <w:t xml:space="preserve">En este punto hay que precisar que, de acuerdo con la </w:t>
      </w:r>
      <w:r w:rsidRPr="00F21E8E">
        <w:rPr>
          <w:rFonts w:ascii="Rockwell" w:hAnsi="Rockwell"/>
          <w:b/>
          <w:bCs/>
        </w:rPr>
        <w:t>Declaración</w:t>
      </w:r>
      <w:r w:rsidR="0029004B" w:rsidRPr="00F21E8E">
        <w:rPr>
          <w:rFonts w:ascii="Rockwell" w:hAnsi="Rockwell"/>
          <w:b/>
          <w:bCs/>
        </w:rPr>
        <w:t xml:space="preserve"> </w:t>
      </w:r>
      <w:r w:rsidRPr="00F21E8E">
        <w:rPr>
          <w:rFonts w:ascii="Rockwell" w:hAnsi="Rockwell"/>
          <w:b/>
          <w:bCs/>
        </w:rPr>
        <w:t xml:space="preserve">sobre los </w:t>
      </w:r>
      <w:r w:rsidR="002C212C" w:rsidRPr="00F21E8E">
        <w:rPr>
          <w:rFonts w:ascii="Rockwell" w:hAnsi="Rockwell"/>
          <w:b/>
          <w:bCs/>
        </w:rPr>
        <w:t>principios fundamentales de justicia para las víctimas de delitos y del abuso de poder</w:t>
      </w:r>
      <w:r w:rsidR="002C212C" w:rsidRPr="00F21E8E">
        <w:rPr>
          <w:rFonts w:ascii="Rockwell" w:hAnsi="Rockwell"/>
        </w:rPr>
        <w:t xml:space="preserve"> </w:t>
      </w:r>
      <w:r w:rsidRPr="00F21E8E">
        <w:rPr>
          <w:rFonts w:ascii="Rockwell" w:hAnsi="Rockwell"/>
          <w:b/>
          <w:bCs/>
        </w:rPr>
        <w:t>de 1985,</w:t>
      </w:r>
      <w:r w:rsidRPr="00F21E8E">
        <w:rPr>
          <w:rFonts w:ascii="Rockwell" w:hAnsi="Rockwell"/>
        </w:rPr>
        <w:t xml:space="preserve"> si los responsables de un daño</w:t>
      </w:r>
      <w:r w:rsidR="0029004B" w:rsidRPr="00F21E8E">
        <w:rPr>
          <w:rFonts w:ascii="Rockwell" w:hAnsi="Rockwell"/>
        </w:rPr>
        <w:t xml:space="preserve"> </w:t>
      </w:r>
      <w:r w:rsidRPr="00F21E8E">
        <w:rPr>
          <w:rFonts w:ascii="Rockwell" w:hAnsi="Rockwell"/>
        </w:rPr>
        <w:t>no pueden cubrir total o parcialmente la indemnización, el Estado</w:t>
      </w:r>
      <w:r w:rsidR="0029004B" w:rsidRPr="00F21E8E">
        <w:rPr>
          <w:rFonts w:ascii="Rockwell" w:hAnsi="Rockwell"/>
        </w:rPr>
        <w:t xml:space="preserve"> </w:t>
      </w:r>
      <w:r w:rsidRPr="00F21E8E">
        <w:rPr>
          <w:rFonts w:ascii="Rockwell" w:hAnsi="Rockwell"/>
        </w:rPr>
        <w:t>debe esforzarse por indemnizar por otros medios a la víctima, por</w:t>
      </w:r>
      <w:r w:rsidR="0029004B" w:rsidRPr="00F21E8E">
        <w:rPr>
          <w:rFonts w:ascii="Rockwell" w:hAnsi="Rockwell"/>
        </w:rPr>
        <w:t xml:space="preserve"> </w:t>
      </w:r>
      <w:r w:rsidRPr="00F21E8E">
        <w:rPr>
          <w:rFonts w:ascii="Rockwell" w:hAnsi="Rockwell"/>
        </w:rPr>
        <w:t>ejemplo, a través de fondos nacionales de indemnización para las</w:t>
      </w:r>
      <w:r w:rsidR="0029004B" w:rsidRPr="00F21E8E">
        <w:rPr>
          <w:rFonts w:ascii="Rockwell" w:hAnsi="Rockwell"/>
        </w:rPr>
        <w:t xml:space="preserve"> </w:t>
      </w:r>
      <w:r w:rsidRPr="00F21E8E">
        <w:rPr>
          <w:rFonts w:ascii="Rockwell" w:hAnsi="Rockwell"/>
        </w:rPr>
        <w:t>víctimas. Resulta, por tanto, una medida positiva que recientemente,</w:t>
      </w:r>
      <w:r w:rsidR="0029004B" w:rsidRPr="00F21E8E">
        <w:rPr>
          <w:rFonts w:ascii="Rockwell" w:hAnsi="Rockwell"/>
        </w:rPr>
        <w:t xml:space="preserve"> </w:t>
      </w:r>
      <w:r w:rsidRPr="00F21E8E">
        <w:rPr>
          <w:rFonts w:ascii="Rockwell" w:hAnsi="Rockwell"/>
        </w:rPr>
        <w:t>se haya incorporado a la ley 28950 el artículo 10 que, precisa que,</w:t>
      </w:r>
      <w:r w:rsidR="0029004B" w:rsidRPr="00F21E8E">
        <w:rPr>
          <w:rFonts w:ascii="Rockwell" w:hAnsi="Rockwell"/>
        </w:rPr>
        <w:t xml:space="preserve"> </w:t>
      </w:r>
      <w:r w:rsidRPr="00F21E8E">
        <w:rPr>
          <w:rFonts w:ascii="Rockwell" w:hAnsi="Rockwell"/>
        </w:rPr>
        <w:t>si el patrimonio del condenado por el delito de trata y explotación</w:t>
      </w:r>
      <w:r w:rsidR="0029004B" w:rsidRPr="00F21E8E">
        <w:rPr>
          <w:rFonts w:ascii="Rockwell" w:hAnsi="Rockwell"/>
        </w:rPr>
        <w:t xml:space="preserve"> </w:t>
      </w:r>
      <w:r w:rsidRPr="00F21E8E">
        <w:rPr>
          <w:rFonts w:ascii="Rockwell" w:hAnsi="Rockwell"/>
        </w:rPr>
        <w:t>es insuficiente, los jueces deben ordenar al PRONABI</w:t>
      </w:r>
      <w:r w:rsidR="00D67A78">
        <w:rPr>
          <w:rStyle w:val="Refdenotaalpie"/>
          <w:rFonts w:ascii="Rockwell" w:hAnsi="Rockwell"/>
        </w:rPr>
        <w:footnoteReference w:id="6"/>
      </w:r>
      <w:r w:rsidRPr="00F21E8E">
        <w:rPr>
          <w:rFonts w:ascii="Rockwell" w:hAnsi="Rockwell"/>
        </w:rPr>
        <w:t xml:space="preserve"> o a quien</w:t>
      </w:r>
      <w:r w:rsidR="0029004B" w:rsidRPr="00F21E8E">
        <w:rPr>
          <w:rFonts w:ascii="Rockwell" w:hAnsi="Rockwell"/>
        </w:rPr>
        <w:t xml:space="preserve"> </w:t>
      </w:r>
      <w:r w:rsidRPr="00F21E8E">
        <w:rPr>
          <w:rFonts w:ascii="Rockwell" w:hAnsi="Rockwell"/>
        </w:rPr>
        <w:t>haga de sus veces, a que el producto de la subasta de los bienes</w:t>
      </w:r>
      <w:r w:rsidR="0029004B" w:rsidRPr="00F21E8E">
        <w:rPr>
          <w:rFonts w:ascii="Rockwell" w:hAnsi="Rockwell"/>
        </w:rPr>
        <w:t xml:space="preserve"> </w:t>
      </w:r>
      <w:r w:rsidRPr="00F21E8E">
        <w:rPr>
          <w:rFonts w:ascii="Rockwell" w:hAnsi="Rockwell"/>
        </w:rPr>
        <w:lastRenderedPageBreak/>
        <w:t>decomisados u objeto de extinción de dominio generados por</w:t>
      </w:r>
      <w:r w:rsidR="0029004B" w:rsidRPr="00F21E8E">
        <w:rPr>
          <w:rFonts w:ascii="Rockwell" w:hAnsi="Rockwell"/>
        </w:rPr>
        <w:t xml:space="preserve"> </w:t>
      </w:r>
      <w:r w:rsidRPr="00F21E8E">
        <w:rPr>
          <w:rFonts w:ascii="Rockwell" w:hAnsi="Rockwell"/>
        </w:rPr>
        <w:t>estos delitos</w:t>
      </w:r>
      <w:r w:rsidR="00E5104F" w:rsidRPr="00F21E8E">
        <w:rPr>
          <w:rFonts w:ascii="Rockwell" w:hAnsi="Rockwell"/>
        </w:rPr>
        <w:t>,</w:t>
      </w:r>
      <w:r w:rsidRPr="00F21E8E">
        <w:rPr>
          <w:rFonts w:ascii="Rockwell" w:hAnsi="Rockwell"/>
        </w:rPr>
        <w:t xml:space="preserve"> se destine al pago de la reparación civil a las víctimas,</w:t>
      </w:r>
      <w:r w:rsidR="0029004B" w:rsidRPr="00F21E8E">
        <w:rPr>
          <w:rFonts w:ascii="Rockwell" w:hAnsi="Rockwell"/>
        </w:rPr>
        <w:t xml:space="preserve"> </w:t>
      </w:r>
      <w:r w:rsidRPr="00F21E8E">
        <w:rPr>
          <w:rFonts w:ascii="Rockwell" w:hAnsi="Rockwell"/>
        </w:rPr>
        <w:t>de manera proporcional.</w:t>
      </w:r>
    </w:p>
    <w:p w14:paraId="322687A3" w14:textId="451A8E34" w:rsidR="00F62381" w:rsidRPr="00F21E8E" w:rsidRDefault="00B22305" w:rsidP="00B973CC">
      <w:pPr>
        <w:spacing w:before="120" w:after="0" w:line="240" w:lineRule="auto"/>
        <w:ind w:firstLine="170"/>
        <w:jc w:val="both"/>
        <w:rPr>
          <w:rFonts w:ascii="Rockwell" w:hAnsi="Rockwell"/>
        </w:rPr>
      </w:pPr>
      <w:r w:rsidRPr="00F21E8E">
        <w:rPr>
          <w:rFonts w:ascii="Rockwell" w:hAnsi="Rockwell"/>
        </w:rPr>
        <w:t>El enfoque centrado en la víctima es una apuesta</w:t>
      </w:r>
      <w:r w:rsidR="0029004B" w:rsidRPr="00F21E8E">
        <w:rPr>
          <w:rFonts w:ascii="Rockwell" w:hAnsi="Rockwell"/>
        </w:rPr>
        <w:t xml:space="preserve"> </w:t>
      </w:r>
      <w:r w:rsidRPr="00F21E8E">
        <w:rPr>
          <w:rFonts w:ascii="Rockwell" w:hAnsi="Rockwell"/>
        </w:rPr>
        <w:t>por empoderar a quienes directamente han sufrido una violación de</w:t>
      </w:r>
      <w:r w:rsidR="0029004B" w:rsidRPr="00F21E8E">
        <w:rPr>
          <w:rFonts w:ascii="Rockwell" w:hAnsi="Rockwell"/>
        </w:rPr>
        <w:t xml:space="preserve"> </w:t>
      </w:r>
      <w:r w:rsidRPr="00F21E8E">
        <w:rPr>
          <w:rFonts w:ascii="Rockwell" w:hAnsi="Rockwell"/>
        </w:rPr>
        <w:t>sus derechos. Implica dignificar a las víctimas y reconocerlas en su</w:t>
      </w:r>
      <w:r w:rsidR="0029004B" w:rsidRPr="00F21E8E">
        <w:rPr>
          <w:rFonts w:ascii="Rockwell" w:hAnsi="Rockwell"/>
        </w:rPr>
        <w:t xml:space="preserve"> </w:t>
      </w:r>
      <w:r w:rsidRPr="00F21E8E">
        <w:rPr>
          <w:rFonts w:ascii="Rockwell" w:hAnsi="Rockwell"/>
        </w:rPr>
        <w:t>autodeterminación para dirigir sus proyectos de vida, truncados por</w:t>
      </w:r>
      <w:r w:rsidR="0029004B" w:rsidRPr="00F21E8E">
        <w:rPr>
          <w:rFonts w:ascii="Rockwell" w:hAnsi="Rockwell"/>
        </w:rPr>
        <w:t xml:space="preserve"> </w:t>
      </w:r>
      <w:r w:rsidRPr="00F21E8E">
        <w:rPr>
          <w:rFonts w:ascii="Rockwell" w:hAnsi="Rockwell"/>
        </w:rPr>
        <w:t xml:space="preserve">la violencia a la que han sido expuestas. </w:t>
      </w:r>
    </w:p>
    <w:p w14:paraId="14E0CEB0" w14:textId="26CE39E8" w:rsidR="00B22305" w:rsidRPr="00F21E8E" w:rsidRDefault="00B22305" w:rsidP="00B973CC">
      <w:pPr>
        <w:spacing w:before="120" w:after="0" w:line="240" w:lineRule="auto"/>
        <w:ind w:firstLine="170"/>
        <w:jc w:val="both"/>
        <w:rPr>
          <w:rFonts w:ascii="Rockwell" w:hAnsi="Rockwell"/>
        </w:rPr>
      </w:pPr>
      <w:r w:rsidRPr="00F21E8E">
        <w:rPr>
          <w:rFonts w:ascii="Rockwell" w:hAnsi="Rockwell"/>
        </w:rPr>
        <w:t>Aplicado al proceso penal, es</w:t>
      </w:r>
      <w:r w:rsidR="0029004B" w:rsidRPr="00F21E8E">
        <w:rPr>
          <w:rFonts w:ascii="Rockwell" w:hAnsi="Rockwell"/>
        </w:rPr>
        <w:t xml:space="preserve"> </w:t>
      </w:r>
      <w:r w:rsidRPr="00F21E8E">
        <w:rPr>
          <w:rFonts w:ascii="Rockwell" w:hAnsi="Rockwell"/>
        </w:rPr>
        <w:t>una herramienta que busca que los operadores de servicio y de justicia</w:t>
      </w:r>
      <w:r w:rsidR="0029004B" w:rsidRPr="00F21E8E">
        <w:rPr>
          <w:rFonts w:ascii="Rockwell" w:hAnsi="Rockwell"/>
        </w:rPr>
        <w:t xml:space="preserve"> </w:t>
      </w:r>
      <w:r w:rsidRPr="00F21E8E">
        <w:rPr>
          <w:rFonts w:ascii="Rockwell" w:hAnsi="Rockwell"/>
        </w:rPr>
        <w:t>prioricen las necesidades e intereses de las víctimas en</w:t>
      </w:r>
      <w:r w:rsidR="0029004B" w:rsidRPr="00F21E8E">
        <w:rPr>
          <w:rFonts w:ascii="Rockwell" w:hAnsi="Rockwell"/>
        </w:rPr>
        <w:t xml:space="preserve"> </w:t>
      </w:r>
      <w:r w:rsidRPr="00F21E8E">
        <w:rPr>
          <w:rFonts w:ascii="Rockwell" w:hAnsi="Rockwell"/>
        </w:rPr>
        <w:t>cada una de las interacciones que mantienen con ellas, permitiendo</w:t>
      </w:r>
      <w:r w:rsidR="0029004B" w:rsidRPr="00F21E8E">
        <w:rPr>
          <w:rFonts w:ascii="Rockwell" w:hAnsi="Rockwell"/>
        </w:rPr>
        <w:t xml:space="preserve"> </w:t>
      </w:r>
      <w:r w:rsidRPr="00F21E8E">
        <w:rPr>
          <w:rFonts w:ascii="Rockwell" w:hAnsi="Rockwell"/>
        </w:rPr>
        <w:t>de esa manera, neutralizar todo riesgo de revictimización. Ello resulta</w:t>
      </w:r>
      <w:r w:rsidR="0029004B" w:rsidRPr="00F21E8E">
        <w:rPr>
          <w:rFonts w:ascii="Rockwell" w:hAnsi="Rockwell"/>
        </w:rPr>
        <w:t xml:space="preserve"> </w:t>
      </w:r>
      <w:r w:rsidRPr="00F21E8E">
        <w:rPr>
          <w:rFonts w:ascii="Rockwell" w:hAnsi="Rockwell"/>
        </w:rPr>
        <w:t>aún más acuciante cuando se trata de víctimas que han sufrido una</w:t>
      </w:r>
      <w:r w:rsidR="0029004B" w:rsidRPr="00F21E8E">
        <w:rPr>
          <w:rFonts w:ascii="Rockwell" w:hAnsi="Rockwell"/>
        </w:rPr>
        <w:t xml:space="preserve"> </w:t>
      </w:r>
      <w:r w:rsidRPr="00F21E8E">
        <w:rPr>
          <w:rFonts w:ascii="Rockwell" w:hAnsi="Rockwell"/>
        </w:rPr>
        <w:t>violación múltiple y continuada de sus derechos, como ocurre en el</w:t>
      </w:r>
      <w:r w:rsidR="0029004B" w:rsidRPr="00F21E8E">
        <w:rPr>
          <w:rFonts w:ascii="Rockwell" w:hAnsi="Rockwell"/>
        </w:rPr>
        <w:t xml:space="preserve"> </w:t>
      </w:r>
      <w:r w:rsidRPr="00F21E8E">
        <w:rPr>
          <w:rFonts w:ascii="Rockwell" w:hAnsi="Rockwell"/>
        </w:rPr>
        <w:t>caso de la trata de personas y la explotación, en donde el impacto</w:t>
      </w:r>
      <w:r w:rsidR="0029004B" w:rsidRPr="00F21E8E">
        <w:rPr>
          <w:rFonts w:ascii="Rockwell" w:hAnsi="Rockwell"/>
        </w:rPr>
        <w:t xml:space="preserve"> </w:t>
      </w:r>
      <w:r w:rsidRPr="00F21E8E">
        <w:rPr>
          <w:rFonts w:ascii="Rockwell" w:hAnsi="Rockwell"/>
        </w:rPr>
        <w:t>y las secuelas del trauma exigen adoptar estrategias de cuidado y</w:t>
      </w:r>
      <w:r w:rsidR="0029004B" w:rsidRPr="00F21E8E">
        <w:rPr>
          <w:rFonts w:ascii="Rockwell" w:hAnsi="Rockwell"/>
        </w:rPr>
        <w:t xml:space="preserve"> </w:t>
      </w:r>
      <w:r w:rsidRPr="00F21E8E">
        <w:rPr>
          <w:rFonts w:ascii="Rockwell" w:hAnsi="Rockwell"/>
        </w:rPr>
        <w:t>protección reforzada para garantizar su proceso de recuperación.</w:t>
      </w:r>
    </w:p>
    <w:p w14:paraId="29ABCD55" w14:textId="189E7ECF" w:rsidR="00623D14" w:rsidRDefault="00B22305" w:rsidP="00B973CC">
      <w:pPr>
        <w:spacing w:before="120" w:after="0" w:line="240" w:lineRule="auto"/>
        <w:ind w:firstLine="170"/>
        <w:jc w:val="both"/>
        <w:rPr>
          <w:rFonts w:ascii="Rockwell" w:hAnsi="Rockwell"/>
        </w:rPr>
      </w:pPr>
      <w:r w:rsidRPr="00F21E8E">
        <w:rPr>
          <w:rFonts w:ascii="Rockwell" w:hAnsi="Rockwell"/>
        </w:rPr>
        <w:t>La persecución y sanción de los responsables tratantes debe</w:t>
      </w:r>
      <w:r w:rsidR="0029004B" w:rsidRPr="00F21E8E">
        <w:rPr>
          <w:rFonts w:ascii="Rockwell" w:hAnsi="Rockwell"/>
        </w:rPr>
        <w:t xml:space="preserve"> </w:t>
      </w:r>
      <w:r w:rsidRPr="00F21E8E">
        <w:rPr>
          <w:rFonts w:ascii="Rockwell" w:hAnsi="Rockwell"/>
        </w:rPr>
        <w:t>armonizarse con la protección y asistencia de sus víctimas. Para</w:t>
      </w:r>
      <w:r w:rsidR="0029004B" w:rsidRPr="00F21E8E">
        <w:rPr>
          <w:rFonts w:ascii="Rockwell" w:hAnsi="Rockwell"/>
        </w:rPr>
        <w:t xml:space="preserve"> </w:t>
      </w:r>
      <w:r w:rsidRPr="00F21E8E">
        <w:rPr>
          <w:rFonts w:ascii="Rockwell" w:hAnsi="Rockwell"/>
        </w:rPr>
        <w:t>alcanzar este propósito, es indispensable identificar primero los desafíos</w:t>
      </w:r>
      <w:r w:rsidR="0029004B" w:rsidRPr="00F21E8E">
        <w:rPr>
          <w:rFonts w:ascii="Rockwell" w:hAnsi="Rockwell"/>
        </w:rPr>
        <w:t xml:space="preserve"> </w:t>
      </w:r>
      <w:r w:rsidRPr="00F21E8E">
        <w:rPr>
          <w:rFonts w:ascii="Rockwell" w:hAnsi="Rockwell"/>
        </w:rPr>
        <w:t>que afectan particularmente la posición que ocupan las víctimas en el proceso penal, y que socavan sus posibilidades</w:t>
      </w:r>
      <w:r w:rsidR="0029004B" w:rsidRPr="00F21E8E">
        <w:rPr>
          <w:rFonts w:ascii="Rockwell" w:hAnsi="Rockwell"/>
        </w:rPr>
        <w:t xml:space="preserve"> </w:t>
      </w:r>
      <w:r w:rsidRPr="00F21E8E">
        <w:rPr>
          <w:rFonts w:ascii="Rockwell" w:hAnsi="Rockwell"/>
        </w:rPr>
        <w:t>de exigir sus derechos a lo largo de este. Es la oportunidad</w:t>
      </w:r>
      <w:r w:rsidR="00F62381" w:rsidRPr="00F21E8E">
        <w:rPr>
          <w:rFonts w:ascii="Rockwell" w:hAnsi="Rockwell"/>
        </w:rPr>
        <w:t xml:space="preserve"> </w:t>
      </w:r>
      <w:r w:rsidRPr="00F21E8E">
        <w:rPr>
          <w:rFonts w:ascii="Rockwell" w:hAnsi="Rockwell"/>
        </w:rPr>
        <w:t>de poner en relieve los intereses y las necesidades de las víctimas</w:t>
      </w:r>
      <w:r w:rsidR="000D0E61" w:rsidRPr="00F21E8E">
        <w:rPr>
          <w:rFonts w:ascii="Rockwell" w:hAnsi="Rockwell"/>
        </w:rPr>
        <w:t xml:space="preserve"> </w:t>
      </w:r>
      <w:r w:rsidRPr="00F21E8E">
        <w:rPr>
          <w:rFonts w:ascii="Rockwell" w:hAnsi="Rockwell"/>
        </w:rPr>
        <w:t>cuyos derechos fueron directamente vulnerados</w:t>
      </w:r>
      <w:r w:rsidR="00F62381" w:rsidRPr="00F21E8E">
        <w:rPr>
          <w:rFonts w:ascii="Rockwell" w:hAnsi="Rockwell"/>
        </w:rPr>
        <w:t xml:space="preserve"> </w:t>
      </w:r>
      <w:r w:rsidRPr="00F21E8E">
        <w:rPr>
          <w:rFonts w:ascii="Rockwell" w:hAnsi="Rockwell"/>
        </w:rPr>
        <w:t>por devastadoras formas de criminalidad que el Estado debió</w:t>
      </w:r>
      <w:r w:rsidR="00F62381" w:rsidRPr="00F21E8E">
        <w:rPr>
          <w:rFonts w:ascii="Rockwell" w:hAnsi="Rockwell"/>
        </w:rPr>
        <w:t xml:space="preserve"> </w:t>
      </w:r>
      <w:r w:rsidRPr="00F21E8E">
        <w:rPr>
          <w:rFonts w:ascii="Rockwell" w:hAnsi="Rockwell"/>
        </w:rPr>
        <w:t xml:space="preserve">prevenir. </w:t>
      </w:r>
    </w:p>
    <w:p w14:paraId="2818DB00" w14:textId="77777777" w:rsidR="00097E00" w:rsidRDefault="00097E00" w:rsidP="00B973CC">
      <w:pPr>
        <w:spacing w:before="120" w:after="0" w:line="240" w:lineRule="auto"/>
        <w:ind w:firstLine="170"/>
        <w:jc w:val="both"/>
        <w:rPr>
          <w:rFonts w:ascii="Rockwell" w:hAnsi="Rockwell"/>
        </w:rPr>
      </w:pPr>
    </w:p>
    <w:p w14:paraId="388A062A" w14:textId="77777777" w:rsidR="00097E00" w:rsidRDefault="00097E00" w:rsidP="00B973CC">
      <w:pPr>
        <w:spacing w:before="120" w:after="0" w:line="240" w:lineRule="auto"/>
        <w:ind w:firstLine="170"/>
        <w:jc w:val="both"/>
        <w:rPr>
          <w:rFonts w:ascii="Rockwell" w:hAnsi="Rockwell"/>
        </w:rPr>
      </w:pPr>
    </w:p>
    <w:p w14:paraId="3CDE8697" w14:textId="1441E602" w:rsidR="00623D14" w:rsidRDefault="001822D1" w:rsidP="00A40E5C">
      <w:pPr>
        <w:spacing w:before="120" w:after="0" w:line="240" w:lineRule="auto"/>
        <w:ind w:firstLine="170"/>
        <w:jc w:val="right"/>
        <w:rPr>
          <w:rFonts w:ascii="Rockwell" w:hAnsi="Rockwell"/>
          <w:i/>
          <w:iCs/>
        </w:rPr>
      </w:pPr>
      <w:r>
        <w:rPr>
          <w:rFonts w:ascii="Rockwell" w:hAnsi="Rockwell"/>
          <w:i/>
          <w:iCs/>
        </w:rPr>
        <w:t>PERÚ / LIMA</w:t>
      </w:r>
      <w:r w:rsidR="00623D14" w:rsidRPr="00F21E8E">
        <w:rPr>
          <w:rFonts w:ascii="Rockwell" w:hAnsi="Rockwell"/>
          <w:i/>
          <w:iCs/>
        </w:rPr>
        <w:t xml:space="preserve">, </w:t>
      </w:r>
      <w:r w:rsidR="00981E44" w:rsidRPr="00F21E8E">
        <w:rPr>
          <w:rFonts w:ascii="Rockwell" w:hAnsi="Rockwell"/>
          <w:i/>
          <w:iCs/>
        </w:rPr>
        <w:t>setiembre 2024.</w:t>
      </w:r>
    </w:p>
    <w:p w14:paraId="097E63BA" w14:textId="77777777" w:rsidR="00097E00" w:rsidRDefault="00097E00" w:rsidP="00A40E5C">
      <w:pPr>
        <w:spacing w:before="120" w:after="0" w:line="240" w:lineRule="auto"/>
        <w:ind w:firstLine="170"/>
        <w:jc w:val="right"/>
        <w:rPr>
          <w:rFonts w:ascii="Rockwell" w:hAnsi="Rockwell"/>
          <w:i/>
          <w:iCs/>
        </w:rPr>
      </w:pPr>
    </w:p>
    <w:p w14:paraId="21E1DE26" w14:textId="77777777" w:rsidR="00097E00" w:rsidRDefault="00097E00" w:rsidP="00A40E5C">
      <w:pPr>
        <w:spacing w:before="120" w:after="0" w:line="240" w:lineRule="auto"/>
        <w:ind w:firstLine="170"/>
        <w:jc w:val="right"/>
        <w:rPr>
          <w:rFonts w:ascii="Rockwell" w:hAnsi="Rockwell"/>
          <w:i/>
          <w:iCs/>
        </w:rPr>
      </w:pPr>
    </w:p>
    <w:p w14:paraId="2DDB62F6" w14:textId="77777777" w:rsidR="00097E00" w:rsidRDefault="00097E00" w:rsidP="00A40E5C">
      <w:pPr>
        <w:spacing w:before="120" w:after="0" w:line="240" w:lineRule="auto"/>
        <w:ind w:firstLine="170"/>
        <w:jc w:val="right"/>
        <w:rPr>
          <w:rFonts w:ascii="Rockwell" w:hAnsi="Rockwell"/>
          <w:i/>
          <w:iCs/>
        </w:rPr>
      </w:pPr>
    </w:p>
    <w:p w14:paraId="7186CB57" w14:textId="77777777" w:rsidR="00097E00" w:rsidRPr="00F21E8E" w:rsidRDefault="00097E00" w:rsidP="00A40E5C">
      <w:pPr>
        <w:spacing w:before="120" w:after="0" w:line="240" w:lineRule="auto"/>
        <w:ind w:firstLine="170"/>
        <w:jc w:val="right"/>
        <w:rPr>
          <w:rFonts w:ascii="Rockwell" w:hAnsi="Rockwell"/>
          <w:i/>
          <w:iCs/>
        </w:rPr>
      </w:pPr>
    </w:p>
    <w:p w14:paraId="4015324B" w14:textId="77777777" w:rsidR="007A1CF7" w:rsidRPr="00F21E8E" w:rsidRDefault="007A1CF7" w:rsidP="00A40E5C">
      <w:pPr>
        <w:spacing w:before="120" w:after="0" w:line="240" w:lineRule="auto"/>
        <w:ind w:firstLine="170"/>
        <w:jc w:val="right"/>
        <w:rPr>
          <w:rFonts w:ascii="Rockwell" w:hAnsi="Rockwell"/>
          <w:i/>
          <w:iCs/>
          <w:sz w:val="20"/>
          <w:szCs w:val="20"/>
        </w:rPr>
      </w:pPr>
    </w:p>
    <w:p w14:paraId="04E9179C" w14:textId="6D75276F" w:rsidR="001822D1" w:rsidRPr="00C17CF0" w:rsidRDefault="00AB0E83" w:rsidP="00C17CF0">
      <w:pPr>
        <w:pStyle w:val="Prrafodelista"/>
        <w:ind w:left="0"/>
        <w:jc w:val="center"/>
        <w:rPr>
          <w:rFonts w:ascii="Arial" w:hAnsi="Arial" w:cs="Arial"/>
          <w:b/>
          <w:bCs/>
          <w:i/>
          <w:iCs/>
        </w:rPr>
      </w:pPr>
      <w:r w:rsidRPr="00C17CF0">
        <w:rPr>
          <w:rFonts w:ascii="Arial" w:hAnsi="Arial" w:cs="Arial"/>
          <w:b/>
          <w:bCs/>
          <w:i/>
          <w:iCs/>
        </w:rPr>
        <w:t>Leonel FALCÓN</w:t>
      </w:r>
      <w:r w:rsidR="001822D1" w:rsidRPr="00C17CF0">
        <w:rPr>
          <w:rFonts w:ascii="Arial" w:hAnsi="Arial" w:cs="Arial"/>
          <w:b/>
          <w:bCs/>
          <w:i/>
          <w:iCs/>
        </w:rPr>
        <w:t xml:space="preserve"> </w:t>
      </w:r>
      <w:r w:rsidRPr="00C17CF0">
        <w:rPr>
          <w:rFonts w:ascii="Arial" w:hAnsi="Arial" w:cs="Arial"/>
          <w:b/>
          <w:bCs/>
          <w:i/>
          <w:iCs/>
        </w:rPr>
        <w:t>GUERRA</w:t>
      </w:r>
    </w:p>
    <w:p w14:paraId="714F094D" w14:textId="440BA631" w:rsidR="00AB0E83" w:rsidRPr="00C17CF0" w:rsidRDefault="001822D1" w:rsidP="00C17CF0">
      <w:pPr>
        <w:pStyle w:val="Prrafodelista"/>
        <w:ind w:left="0"/>
        <w:jc w:val="center"/>
        <w:rPr>
          <w:rFonts w:ascii="Arial" w:hAnsi="Arial" w:cs="Arial"/>
          <w:b/>
          <w:bCs/>
          <w:i/>
          <w:iCs/>
        </w:rPr>
      </w:pPr>
      <w:r w:rsidRPr="00C17CF0">
        <w:rPr>
          <w:rFonts w:ascii="Arial" w:hAnsi="Arial" w:cs="Arial"/>
          <w:b/>
          <w:bCs/>
          <w:i/>
          <w:iCs/>
        </w:rPr>
        <w:t>Periodista /</w:t>
      </w:r>
      <w:r w:rsidR="00AB0E83" w:rsidRPr="00C17CF0">
        <w:rPr>
          <w:rFonts w:ascii="Arial" w:hAnsi="Arial" w:cs="Arial"/>
          <w:b/>
          <w:bCs/>
          <w:i/>
          <w:iCs/>
        </w:rPr>
        <w:t xml:space="preserve"> abogado</w:t>
      </w:r>
      <w:r w:rsidRPr="00C17CF0">
        <w:rPr>
          <w:rFonts w:ascii="Arial" w:hAnsi="Arial" w:cs="Arial"/>
          <w:b/>
          <w:bCs/>
          <w:i/>
          <w:iCs/>
        </w:rPr>
        <w:t xml:space="preserve"> e internacionalista peruano</w:t>
      </w:r>
    </w:p>
    <w:p w14:paraId="0024CEF4" w14:textId="0DF3765A" w:rsidR="00AB0E83" w:rsidRPr="00C17CF0" w:rsidRDefault="00AB0E83" w:rsidP="00C17CF0">
      <w:pPr>
        <w:pStyle w:val="Prrafodelista"/>
        <w:ind w:left="0"/>
        <w:jc w:val="center"/>
        <w:rPr>
          <w:rFonts w:ascii="Arial" w:hAnsi="Arial" w:cs="Arial"/>
          <w:b/>
          <w:bCs/>
          <w:i/>
          <w:iCs/>
        </w:rPr>
      </w:pPr>
      <w:r w:rsidRPr="00C17CF0">
        <w:rPr>
          <w:rFonts w:ascii="Arial" w:hAnsi="Arial" w:cs="Arial"/>
          <w:b/>
          <w:bCs/>
          <w:i/>
          <w:iCs/>
        </w:rPr>
        <w:t>Director de El Puka y secretario general del SUTPECOS – Lima</w:t>
      </w:r>
    </w:p>
    <w:p w14:paraId="35CB119D" w14:textId="50101849" w:rsidR="003A6BFF" w:rsidRPr="00C17CF0" w:rsidRDefault="00AB0E83" w:rsidP="00C17CF0">
      <w:pPr>
        <w:pStyle w:val="Prrafodelista"/>
        <w:ind w:left="0"/>
        <w:jc w:val="center"/>
        <w:rPr>
          <w:rFonts w:ascii="Arial" w:hAnsi="Arial" w:cs="Arial"/>
          <w:b/>
          <w:bCs/>
          <w:i/>
          <w:iCs/>
        </w:rPr>
      </w:pPr>
      <w:r w:rsidRPr="00C17CF0">
        <w:rPr>
          <w:rFonts w:ascii="Arial" w:hAnsi="Arial" w:cs="Arial"/>
          <w:b/>
          <w:bCs/>
          <w:i/>
          <w:iCs/>
        </w:rPr>
        <w:t xml:space="preserve">Celular:   </w:t>
      </w:r>
      <w:r w:rsidR="003A6BFF" w:rsidRPr="00C17CF0">
        <w:rPr>
          <w:rFonts w:ascii="Arial" w:hAnsi="Arial" w:cs="Arial"/>
          <w:b/>
          <w:bCs/>
          <w:i/>
          <w:iCs/>
        </w:rPr>
        <w:t xml:space="preserve"> </w:t>
      </w:r>
      <w:r w:rsidRPr="00C17CF0">
        <w:rPr>
          <w:rFonts w:ascii="Arial" w:hAnsi="Arial" w:cs="Arial"/>
          <w:b/>
          <w:bCs/>
          <w:i/>
          <w:iCs/>
        </w:rPr>
        <w:t>+51 9</w:t>
      </w:r>
      <w:r w:rsidR="001822D1" w:rsidRPr="00C17CF0">
        <w:rPr>
          <w:rFonts w:ascii="Arial" w:hAnsi="Arial" w:cs="Arial"/>
          <w:b/>
          <w:bCs/>
          <w:i/>
          <w:iCs/>
        </w:rPr>
        <w:t>56</w:t>
      </w:r>
      <w:r w:rsidRPr="00C17CF0">
        <w:rPr>
          <w:rFonts w:ascii="Arial" w:hAnsi="Arial" w:cs="Arial"/>
          <w:b/>
          <w:bCs/>
          <w:i/>
          <w:iCs/>
        </w:rPr>
        <w:t xml:space="preserve"> </w:t>
      </w:r>
      <w:r w:rsidR="001822D1" w:rsidRPr="00C17CF0">
        <w:rPr>
          <w:rFonts w:ascii="Arial" w:hAnsi="Arial" w:cs="Arial"/>
          <w:b/>
          <w:bCs/>
          <w:i/>
          <w:iCs/>
        </w:rPr>
        <w:t>82</w:t>
      </w:r>
      <w:r w:rsidRPr="00C17CF0">
        <w:rPr>
          <w:rFonts w:ascii="Arial" w:hAnsi="Arial" w:cs="Arial"/>
          <w:b/>
          <w:bCs/>
          <w:i/>
          <w:iCs/>
        </w:rPr>
        <w:t>8 7</w:t>
      </w:r>
      <w:r w:rsidR="001822D1" w:rsidRPr="00C17CF0">
        <w:rPr>
          <w:rFonts w:ascii="Arial" w:hAnsi="Arial" w:cs="Arial"/>
          <w:b/>
          <w:bCs/>
          <w:i/>
          <w:iCs/>
        </w:rPr>
        <w:t>22</w:t>
      </w:r>
    </w:p>
    <w:p w14:paraId="1F242369" w14:textId="0C832DAD" w:rsidR="00AB0E83" w:rsidRPr="00C17CF0" w:rsidRDefault="00AB0E83" w:rsidP="00C17CF0">
      <w:pPr>
        <w:pStyle w:val="Prrafodelista"/>
        <w:ind w:left="0"/>
        <w:jc w:val="center"/>
        <w:rPr>
          <w:rFonts w:ascii="Arial" w:hAnsi="Arial" w:cs="Arial"/>
          <w:b/>
          <w:bCs/>
          <w:i/>
          <w:iCs/>
        </w:rPr>
      </w:pPr>
      <w:r w:rsidRPr="00C17CF0">
        <w:rPr>
          <w:rFonts w:ascii="Arial" w:hAnsi="Arial" w:cs="Arial"/>
          <w:b/>
          <w:bCs/>
          <w:i/>
          <w:iCs/>
        </w:rPr>
        <w:t>Correo:   elpukadirector@gmail.com</w:t>
      </w:r>
    </w:p>
    <w:p w14:paraId="3C7127AF" w14:textId="77777777" w:rsidR="00CF606A" w:rsidRPr="00F21E8E" w:rsidRDefault="00CF606A" w:rsidP="00B973CC">
      <w:pPr>
        <w:spacing w:before="120" w:after="0" w:line="240" w:lineRule="auto"/>
        <w:ind w:firstLine="170"/>
        <w:jc w:val="both"/>
        <w:rPr>
          <w:rFonts w:ascii="Rockwell" w:hAnsi="Rockwell"/>
          <w:sz w:val="20"/>
          <w:szCs w:val="20"/>
        </w:rPr>
      </w:pPr>
    </w:p>
    <w:sectPr w:rsidR="00CF606A" w:rsidRPr="00F21E8E" w:rsidSect="00C17CF0">
      <w:head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04EB3" w14:textId="77777777" w:rsidR="00107DFD" w:rsidRPr="00F21E8E" w:rsidRDefault="00107DFD" w:rsidP="00FA42F4">
      <w:pPr>
        <w:spacing w:after="0" w:line="240" w:lineRule="auto"/>
      </w:pPr>
      <w:r w:rsidRPr="00F21E8E">
        <w:separator/>
      </w:r>
    </w:p>
  </w:endnote>
  <w:endnote w:type="continuationSeparator" w:id="0">
    <w:p w14:paraId="4D2C8AE5" w14:textId="77777777" w:rsidR="00107DFD" w:rsidRPr="00F21E8E" w:rsidRDefault="00107DFD" w:rsidP="00FA42F4">
      <w:pPr>
        <w:spacing w:after="0" w:line="240" w:lineRule="auto"/>
      </w:pPr>
      <w:r w:rsidRPr="00F21E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1571E" w14:textId="77777777" w:rsidR="00107DFD" w:rsidRPr="00F21E8E" w:rsidRDefault="00107DFD" w:rsidP="00FA42F4">
      <w:pPr>
        <w:spacing w:after="0" w:line="240" w:lineRule="auto"/>
      </w:pPr>
      <w:r w:rsidRPr="00F21E8E">
        <w:separator/>
      </w:r>
    </w:p>
  </w:footnote>
  <w:footnote w:type="continuationSeparator" w:id="0">
    <w:p w14:paraId="28D4A334" w14:textId="77777777" w:rsidR="00107DFD" w:rsidRPr="00F21E8E" w:rsidRDefault="00107DFD" w:rsidP="00FA42F4">
      <w:pPr>
        <w:spacing w:after="0" w:line="240" w:lineRule="auto"/>
      </w:pPr>
      <w:r w:rsidRPr="00F21E8E">
        <w:continuationSeparator/>
      </w:r>
    </w:p>
  </w:footnote>
  <w:footnote w:id="1">
    <w:p w14:paraId="6DA6C021" w14:textId="179FAA43" w:rsidR="00E87B04" w:rsidRPr="00E87B04" w:rsidRDefault="00E87B04">
      <w:pPr>
        <w:pStyle w:val="Textonotapie"/>
        <w:rPr>
          <w:i/>
          <w:iCs/>
          <w:sz w:val="18"/>
          <w:szCs w:val="18"/>
          <w:lang w:val="es-PE"/>
        </w:rPr>
      </w:pPr>
      <w:r w:rsidRPr="00E87B04">
        <w:rPr>
          <w:rStyle w:val="Refdenotaalpie"/>
          <w:i/>
          <w:iCs/>
          <w:sz w:val="18"/>
          <w:szCs w:val="18"/>
        </w:rPr>
        <w:footnoteRef/>
      </w:r>
      <w:r w:rsidRPr="00E87B04">
        <w:rPr>
          <w:i/>
          <w:iCs/>
          <w:sz w:val="18"/>
          <w:szCs w:val="18"/>
        </w:rPr>
        <w:t xml:space="preserve"> </w:t>
      </w:r>
      <w:r w:rsidRPr="00E87B04">
        <w:rPr>
          <w:rFonts w:cstheme="minorHAnsi"/>
          <w:i/>
          <w:iCs/>
          <w:sz w:val="18"/>
          <w:szCs w:val="18"/>
        </w:rPr>
        <w:t xml:space="preserve">National Geographic. </w:t>
      </w:r>
      <w:r w:rsidR="00DC3F93" w:rsidRPr="00E87B04">
        <w:rPr>
          <w:rFonts w:cstheme="minorHAnsi"/>
          <w:i/>
          <w:iCs/>
          <w:sz w:val="18"/>
          <w:szCs w:val="18"/>
        </w:rPr>
        <w:t>Sergi Alcalde</w:t>
      </w:r>
      <w:r w:rsidR="00DC3F93">
        <w:rPr>
          <w:rFonts w:cstheme="minorHAnsi"/>
          <w:i/>
          <w:iCs/>
          <w:sz w:val="18"/>
          <w:szCs w:val="18"/>
        </w:rPr>
        <w:t xml:space="preserve">. </w:t>
      </w:r>
      <w:r w:rsidRPr="00E87B04">
        <w:rPr>
          <w:rFonts w:cstheme="minorHAnsi"/>
          <w:i/>
          <w:iCs/>
          <w:sz w:val="18"/>
          <w:szCs w:val="18"/>
        </w:rPr>
        <w:t>Barcelona, 15 de diciembre 2022</w:t>
      </w:r>
      <w:r w:rsidR="00DC3F93">
        <w:rPr>
          <w:rFonts w:cstheme="minorHAnsi"/>
          <w:i/>
          <w:iCs/>
          <w:sz w:val="18"/>
          <w:szCs w:val="18"/>
        </w:rPr>
        <w:t>.</w:t>
      </w:r>
    </w:p>
  </w:footnote>
  <w:footnote w:id="2">
    <w:p w14:paraId="596FF0D1" w14:textId="68E7972E" w:rsidR="006C375A" w:rsidRPr="006C375A" w:rsidRDefault="006C375A">
      <w:pPr>
        <w:pStyle w:val="Textonotapie"/>
        <w:rPr>
          <w:lang w:val="es-PE"/>
        </w:rPr>
      </w:pPr>
      <w:r w:rsidRPr="00E87B04">
        <w:rPr>
          <w:rStyle w:val="Refdenotaalpie"/>
          <w:i/>
          <w:iCs/>
          <w:sz w:val="18"/>
          <w:szCs w:val="18"/>
        </w:rPr>
        <w:footnoteRef/>
      </w:r>
      <w:r w:rsidRPr="00E87B04">
        <w:rPr>
          <w:i/>
          <w:iCs/>
          <w:sz w:val="18"/>
          <w:szCs w:val="18"/>
        </w:rPr>
        <w:t xml:space="preserve"> Alvin Toffler emplea el término ola como sinónimo de la primera revolución neolítica</w:t>
      </w:r>
      <w:r w:rsidR="00DC3F93">
        <w:rPr>
          <w:i/>
          <w:iCs/>
          <w:sz w:val="18"/>
          <w:szCs w:val="18"/>
        </w:rPr>
        <w:t xml:space="preserve"> o revolución agrícola</w:t>
      </w:r>
      <w:r w:rsidRPr="00E87B04">
        <w:rPr>
          <w:i/>
          <w:iCs/>
          <w:sz w:val="18"/>
          <w:szCs w:val="18"/>
        </w:rPr>
        <w:t>.</w:t>
      </w:r>
    </w:p>
  </w:footnote>
  <w:footnote w:id="3">
    <w:p w14:paraId="59C7C807" w14:textId="77777777" w:rsidR="00DA15A1" w:rsidRPr="00DA15A1" w:rsidRDefault="00DA15A1" w:rsidP="00DA15A1">
      <w:pPr>
        <w:spacing w:before="120" w:after="0" w:line="240" w:lineRule="auto"/>
        <w:ind w:firstLine="170"/>
        <w:rPr>
          <w:rFonts w:cstheme="minorHAnsi"/>
          <w:i/>
          <w:iCs/>
          <w:sz w:val="18"/>
          <w:szCs w:val="18"/>
        </w:rPr>
      </w:pPr>
      <w:r w:rsidRPr="00DA15A1">
        <w:rPr>
          <w:rStyle w:val="Refdenotaalpie"/>
          <w:rFonts w:cstheme="minorHAnsi"/>
          <w:sz w:val="18"/>
          <w:szCs w:val="18"/>
        </w:rPr>
        <w:footnoteRef/>
      </w:r>
      <w:r w:rsidRPr="00DA15A1">
        <w:rPr>
          <w:rFonts w:cstheme="minorHAnsi"/>
          <w:sz w:val="18"/>
          <w:szCs w:val="18"/>
        </w:rPr>
        <w:t xml:space="preserve"> </w:t>
      </w:r>
      <w:r w:rsidRPr="00DA15A1">
        <w:rPr>
          <w:rFonts w:cstheme="minorHAnsi"/>
          <w:i/>
          <w:iCs/>
          <w:sz w:val="18"/>
          <w:szCs w:val="18"/>
        </w:rPr>
        <w:t>Fuente: Procuraduría General del Estado. Lima, noviembre 2023.</w:t>
      </w:r>
    </w:p>
    <w:p w14:paraId="2B376EA1" w14:textId="60518B29" w:rsidR="00DA15A1" w:rsidRPr="00DA15A1" w:rsidRDefault="00DA15A1" w:rsidP="00DA15A1">
      <w:pPr>
        <w:pStyle w:val="Textonotapie"/>
        <w:rPr>
          <w:rFonts w:cstheme="minorHAnsi"/>
          <w:sz w:val="18"/>
          <w:szCs w:val="18"/>
          <w:lang w:val="es-PE"/>
        </w:rPr>
      </w:pPr>
    </w:p>
  </w:footnote>
  <w:footnote w:id="4">
    <w:p w14:paraId="434DC631" w14:textId="19ECDE50" w:rsidR="00D67A78" w:rsidRPr="00D67A78" w:rsidRDefault="00D67A78" w:rsidP="00D67A78">
      <w:pPr>
        <w:pStyle w:val="Textonotapie"/>
        <w:jc w:val="both"/>
        <w:rPr>
          <w:i/>
          <w:iCs/>
          <w:sz w:val="18"/>
          <w:szCs w:val="18"/>
          <w:lang w:val="es-PE"/>
        </w:rPr>
      </w:pPr>
      <w:r w:rsidRPr="00D67A78">
        <w:rPr>
          <w:rStyle w:val="Refdenotaalpie"/>
          <w:i/>
          <w:iCs/>
          <w:sz w:val="18"/>
          <w:szCs w:val="18"/>
        </w:rPr>
        <w:footnoteRef/>
      </w:r>
      <w:r w:rsidRPr="00D67A78">
        <w:rPr>
          <w:i/>
          <w:iCs/>
          <w:sz w:val="18"/>
          <w:szCs w:val="18"/>
        </w:rPr>
        <w:t xml:space="preserve"> El Protocolo de las Naciones Unidas para Prevenir, Reprimir y Sancionar la Trata de Personas, Especialmente Mujeres y Niños (también conocido como el Protocolo contra la trata de personas) es un protocolo de la Convención de las Naciones Unidas contra la Delincuencia Organizada Transnacional. Es uno de los tres Protocolos de Palermo, los otros son protocolo contra el Contrabando de Migrantes por Tierra, Mar y Aire y protocolo contra la fabricación y el tráfico ilícito de armas de fuego, adoptados por las Naciones Unidas en Palermo, Italia en 2000.</w:t>
      </w:r>
    </w:p>
  </w:footnote>
  <w:footnote w:id="5">
    <w:p w14:paraId="54C80BE2" w14:textId="50EFBFD0" w:rsidR="00AA5019" w:rsidRPr="00C02A9D" w:rsidRDefault="00AA5019" w:rsidP="00C02A9D">
      <w:pPr>
        <w:pStyle w:val="Textonotapie"/>
        <w:jc w:val="both"/>
        <w:rPr>
          <w:i/>
          <w:iCs/>
          <w:sz w:val="18"/>
          <w:szCs w:val="18"/>
          <w:lang w:val="es-PE"/>
        </w:rPr>
      </w:pPr>
      <w:r w:rsidRPr="00C02A9D">
        <w:rPr>
          <w:rStyle w:val="Refdenotaalpie"/>
          <w:i/>
          <w:iCs/>
          <w:sz w:val="18"/>
          <w:szCs w:val="18"/>
        </w:rPr>
        <w:footnoteRef/>
      </w:r>
      <w:r w:rsidRPr="00C02A9D">
        <w:rPr>
          <w:i/>
          <w:iCs/>
          <w:sz w:val="18"/>
          <w:szCs w:val="18"/>
        </w:rPr>
        <w:t xml:space="preserve"> </w:t>
      </w:r>
      <w:r w:rsidR="00C02A9D" w:rsidRPr="00C02A9D">
        <w:rPr>
          <w:rFonts w:ascii="Segoe UI" w:hAnsi="Segoe UI" w:cs="Segoe UI"/>
          <w:i/>
          <w:iCs/>
          <w:color w:val="000000"/>
          <w:sz w:val="18"/>
          <w:szCs w:val="18"/>
          <w:shd w:val="clear" w:color="auto" w:fill="FFFFFF"/>
        </w:rPr>
        <w:t>Entre otras iniciativas, ACNUR colidera el Grupo de Trabajo de Trata de Personas del Grupo Temático Mundial de Protección, junto con OIM y Heartland Alliance. Este grupo de trabajo tiene la encomienda de desarrollar formación y directrices de alcance mundial sobre las medidas prácticas que se requieren para, por medio de una respuesta del grupo temático, hacer frente a la trata de personas en contextos de desplazamiento interno.</w:t>
      </w:r>
      <w:r w:rsidR="00C02A9D" w:rsidRPr="00C02A9D">
        <w:t xml:space="preserve"> </w:t>
      </w:r>
      <w:r w:rsidR="00C02A9D" w:rsidRPr="00C02A9D">
        <w:rPr>
          <w:rFonts w:ascii="Segoe UI" w:hAnsi="Segoe UI" w:cs="Segoe UI"/>
          <w:i/>
          <w:iCs/>
          <w:color w:val="000000"/>
          <w:sz w:val="18"/>
          <w:szCs w:val="18"/>
          <w:shd w:val="clear" w:color="auto" w:fill="FFFFFF"/>
        </w:rPr>
        <w:t>https://www.acnur.org/trata-de-personas</w:t>
      </w:r>
    </w:p>
  </w:footnote>
  <w:footnote w:id="6">
    <w:p w14:paraId="6AD6948F" w14:textId="515F3E0D" w:rsidR="00D67A78" w:rsidRPr="00EC5931" w:rsidRDefault="00D67A78">
      <w:pPr>
        <w:pStyle w:val="Textonotapie"/>
        <w:rPr>
          <w:i/>
          <w:iCs/>
          <w:sz w:val="18"/>
          <w:szCs w:val="18"/>
          <w:lang w:val="es-PE"/>
        </w:rPr>
      </w:pPr>
      <w:r w:rsidRPr="00EC5931">
        <w:rPr>
          <w:rStyle w:val="Refdenotaalpie"/>
          <w:i/>
          <w:iCs/>
          <w:sz w:val="18"/>
          <w:szCs w:val="18"/>
        </w:rPr>
        <w:footnoteRef/>
      </w:r>
      <w:r w:rsidRPr="00EC5931">
        <w:rPr>
          <w:i/>
          <w:iCs/>
          <w:sz w:val="18"/>
          <w:szCs w:val="18"/>
        </w:rPr>
        <w:t xml:space="preserve"> </w:t>
      </w:r>
      <w:r w:rsidR="00EC5931" w:rsidRPr="00EC5931">
        <w:rPr>
          <w:i/>
          <w:iCs/>
          <w:sz w:val="18"/>
          <w:szCs w:val="18"/>
        </w:rPr>
        <w:t xml:space="preserve">El Programa Nacional de Bienes Incautados - PRONABI, es un programa creado en el ámbito del Ministerio de Justicia y Derechos Humanos que depende del Despacho Ministerial y se rige por su norma de creación — Decreto Supremo </w:t>
      </w:r>
      <w:r w:rsidR="00C02A9D" w:rsidRPr="00EC5931">
        <w:rPr>
          <w:i/>
          <w:iCs/>
          <w:sz w:val="18"/>
          <w:szCs w:val="18"/>
        </w:rPr>
        <w:t>Nº</w:t>
      </w:r>
      <w:r w:rsidR="00EC5931" w:rsidRPr="00EC5931">
        <w:rPr>
          <w:i/>
          <w:iCs/>
          <w:sz w:val="18"/>
          <w:szCs w:val="18"/>
        </w:rPr>
        <w:t xml:space="preserve"> 011-2017-JUS, y en lo que sea aplicable, el Decreto Legislativo 1104, así como en los dispositivos contemplados en las normas ordinarias o especiales sobre pérdida de dominio para los delitos en los que ya se aplica y amplía sus alcances a otros tipos penales referidos a la minería ilegal y al medio ambiente, así como para los delitos de tráfico ilícito de drogas, terrorismo, secuestro, extorsión, trata de personas, lavado de activos, delitos aduaneros, defraudación tributaria, concusión, peculado, cohecho, tráfico de influencias, enriquecimiento ilícito, delitos ambientales, minería ilegal y otros delitos y acciones que generen efectos o ganancias ilegales en agravio del Estado (Capitulo II, Art. 4° Naturaleza del Programa).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6320069"/>
      <w:docPartObj>
        <w:docPartGallery w:val="Page Numbers (Top of Page)"/>
        <w:docPartUnique/>
      </w:docPartObj>
    </w:sdtPr>
    <w:sdtContent>
      <w:p w14:paraId="119EFBFF" w14:textId="4D02E673" w:rsidR="00FA42F4" w:rsidRPr="00F21E8E" w:rsidRDefault="00FA42F4">
        <w:pPr>
          <w:pStyle w:val="Encabezado"/>
          <w:jc w:val="right"/>
        </w:pPr>
        <w:r w:rsidRPr="00F21E8E">
          <w:fldChar w:fldCharType="begin"/>
        </w:r>
        <w:r w:rsidRPr="00F21E8E">
          <w:instrText>PAGE   \* MERGEFORMAT</w:instrText>
        </w:r>
        <w:r w:rsidRPr="00F21E8E">
          <w:fldChar w:fldCharType="separate"/>
        </w:r>
        <w:r w:rsidRPr="00F21E8E">
          <w:t>2</w:t>
        </w:r>
        <w:r w:rsidRPr="00F21E8E">
          <w:fldChar w:fldCharType="end"/>
        </w:r>
      </w:p>
    </w:sdtContent>
  </w:sdt>
  <w:p w14:paraId="36D5710D" w14:textId="77777777" w:rsidR="00FA42F4" w:rsidRPr="00F21E8E" w:rsidRDefault="00FA42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AF5C5D"/>
    <w:multiLevelType w:val="hybridMultilevel"/>
    <w:tmpl w:val="5DF4D46A"/>
    <w:lvl w:ilvl="0" w:tplc="080A0005">
      <w:start w:val="1"/>
      <w:numFmt w:val="bullet"/>
      <w:lvlText w:val=""/>
      <w:lvlJc w:val="left"/>
      <w:pPr>
        <w:ind w:left="890" w:hanging="360"/>
      </w:pPr>
      <w:rPr>
        <w:rFonts w:ascii="Wingdings" w:hAnsi="Wingdings" w:hint="default"/>
      </w:rPr>
    </w:lvl>
    <w:lvl w:ilvl="1" w:tplc="280A0003" w:tentative="1">
      <w:start w:val="1"/>
      <w:numFmt w:val="bullet"/>
      <w:lvlText w:val="o"/>
      <w:lvlJc w:val="left"/>
      <w:pPr>
        <w:ind w:left="1610" w:hanging="360"/>
      </w:pPr>
      <w:rPr>
        <w:rFonts w:ascii="Courier New" w:hAnsi="Courier New" w:cs="Courier New" w:hint="default"/>
      </w:rPr>
    </w:lvl>
    <w:lvl w:ilvl="2" w:tplc="280A0005" w:tentative="1">
      <w:start w:val="1"/>
      <w:numFmt w:val="bullet"/>
      <w:lvlText w:val=""/>
      <w:lvlJc w:val="left"/>
      <w:pPr>
        <w:ind w:left="2330" w:hanging="360"/>
      </w:pPr>
      <w:rPr>
        <w:rFonts w:ascii="Wingdings" w:hAnsi="Wingdings" w:hint="default"/>
      </w:rPr>
    </w:lvl>
    <w:lvl w:ilvl="3" w:tplc="280A0001" w:tentative="1">
      <w:start w:val="1"/>
      <w:numFmt w:val="bullet"/>
      <w:lvlText w:val=""/>
      <w:lvlJc w:val="left"/>
      <w:pPr>
        <w:ind w:left="3050" w:hanging="360"/>
      </w:pPr>
      <w:rPr>
        <w:rFonts w:ascii="Symbol" w:hAnsi="Symbol" w:hint="default"/>
      </w:rPr>
    </w:lvl>
    <w:lvl w:ilvl="4" w:tplc="280A0003" w:tentative="1">
      <w:start w:val="1"/>
      <w:numFmt w:val="bullet"/>
      <w:lvlText w:val="o"/>
      <w:lvlJc w:val="left"/>
      <w:pPr>
        <w:ind w:left="3770" w:hanging="360"/>
      </w:pPr>
      <w:rPr>
        <w:rFonts w:ascii="Courier New" w:hAnsi="Courier New" w:cs="Courier New" w:hint="default"/>
      </w:rPr>
    </w:lvl>
    <w:lvl w:ilvl="5" w:tplc="280A0005" w:tentative="1">
      <w:start w:val="1"/>
      <w:numFmt w:val="bullet"/>
      <w:lvlText w:val=""/>
      <w:lvlJc w:val="left"/>
      <w:pPr>
        <w:ind w:left="4490" w:hanging="360"/>
      </w:pPr>
      <w:rPr>
        <w:rFonts w:ascii="Wingdings" w:hAnsi="Wingdings" w:hint="default"/>
      </w:rPr>
    </w:lvl>
    <w:lvl w:ilvl="6" w:tplc="280A0001" w:tentative="1">
      <w:start w:val="1"/>
      <w:numFmt w:val="bullet"/>
      <w:lvlText w:val=""/>
      <w:lvlJc w:val="left"/>
      <w:pPr>
        <w:ind w:left="5210" w:hanging="360"/>
      </w:pPr>
      <w:rPr>
        <w:rFonts w:ascii="Symbol" w:hAnsi="Symbol" w:hint="default"/>
      </w:rPr>
    </w:lvl>
    <w:lvl w:ilvl="7" w:tplc="280A0003" w:tentative="1">
      <w:start w:val="1"/>
      <w:numFmt w:val="bullet"/>
      <w:lvlText w:val="o"/>
      <w:lvlJc w:val="left"/>
      <w:pPr>
        <w:ind w:left="5930" w:hanging="360"/>
      </w:pPr>
      <w:rPr>
        <w:rFonts w:ascii="Courier New" w:hAnsi="Courier New" w:cs="Courier New" w:hint="default"/>
      </w:rPr>
    </w:lvl>
    <w:lvl w:ilvl="8" w:tplc="280A0005" w:tentative="1">
      <w:start w:val="1"/>
      <w:numFmt w:val="bullet"/>
      <w:lvlText w:val=""/>
      <w:lvlJc w:val="left"/>
      <w:pPr>
        <w:ind w:left="6650" w:hanging="360"/>
      </w:pPr>
      <w:rPr>
        <w:rFonts w:ascii="Wingdings" w:hAnsi="Wingdings" w:hint="default"/>
      </w:rPr>
    </w:lvl>
  </w:abstractNum>
  <w:abstractNum w:abstractNumId="1" w15:restartNumberingAfterBreak="0">
    <w:nsid w:val="161C7050"/>
    <w:multiLevelType w:val="hybridMultilevel"/>
    <w:tmpl w:val="F776F394"/>
    <w:lvl w:ilvl="0" w:tplc="080A0005">
      <w:start w:val="1"/>
      <w:numFmt w:val="bullet"/>
      <w:lvlText w:val=""/>
      <w:lvlJc w:val="left"/>
      <w:pPr>
        <w:ind w:left="890" w:hanging="360"/>
      </w:pPr>
      <w:rPr>
        <w:rFonts w:ascii="Wingdings" w:hAnsi="Wingdings" w:hint="default"/>
      </w:rPr>
    </w:lvl>
    <w:lvl w:ilvl="1" w:tplc="280A0003" w:tentative="1">
      <w:start w:val="1"/>
      <w:numFmt w:val="bullet"/>
      <w:lvlText w:val="o"/>
      <w:lvlJc w:val="left"/>
      <w:pPr>
        <w:ind w:left="1610" w:hanging="360"/>
      </w:pPr>
      <w:rPr>
        <w:rFonts w:ascii="Courier New" w:hAnsi="Courier New" w:cs="Courier New" w:hint="default"/>
      </w:rPr>
    </w:lvl>
    <w:lvl w:ilvl="2" w:tplc="280A0005" w:tentative="1">
      <w:start w:val="1"/>
      <w:numFmt w:val="bullet"/>
      <w:lvlText w:val=""/>
      <w:lvlJc w:val="left"/>
      <w:pPr>
        <w:ind w:left="2330" w:hanging="360"/>
      </w:pPr>
      <w:rPr>
        <w:rFonts w:ascii="Wingdings" w:hAnsi="Wingdings" w:hint="default"/>
      </w:rPr>
    </w:lvl>
    <w:lvl w:ilvl="3" w:tplc="280A0001" w:tentative="1">
      <w:start w:val="1"/>
      <w:numFmt w:val="bullet"/>
      <w:lvlText w:val=""/>
      <w:lvlJc w:val="left"/>
      <w:pPr>
        <w:ind w:left="3050" w:hanging="360"/>
      </w:pPr>
      <w:rPr>
        <w:rFonts w:ascii="Symbol" w:hAnsi="Symbol" w:hint="default"/>
      </w:rPr>
    </w:lvl>
    <w:lvl w:ilvl="4" w:tplc="280A0003" w:tentative="1">
      <w:start w:val="1"/>
      <w:numFmt w:val="bullet"/>
      <w:lvlText w:val="o"/>
      <w:lvlJc w:val="left"/>
      <w:pPr>
        <w:ind w:left="3770" w:hanging="360"/>
      </w:pPr>
      <w:rPr>
        <w:rFonts w:ascii="Courier New" w:hAnsi="Courier New" w:cs="Courier New" w:hint="default"/>
      </w:rPr>
    </w:lvl>
    <w:lvl w:ilvl="5" w:tplc="280A0005" w:tentative="1">
      <w:start w:val="1"/>
      <w:numFmt w:val="bullet"/>
      <w:lvlText w:val=""/>
      <w:lvlJc w:val="left"/>
      <w:pPr>
        <w:ind w:left="4490" w:hanging="360"/>
      </w:pPr>
      <w:rPr>
        <w:rFonts w:ascii="Wingdings" w:hAnsi="Wingdings" w:hint="default"/>
      </w:rPr>
    </w:lvl>
    <w:lvl w:ilvl="6" w:tplc="280A0001" w:tentative="1">
      <w:start w:val="1"/>
      <w:numFmt w:val="bullet"/>
      <w:lvlText w:val=""/>
      <w:lvlJc w:val="left"/>
      <w:pPr>
        <w:ind w:left="5210" w:hanging="360"/>
      </w:pPr>
      <w:rPr>
        <w:rFonts w:ascii="Symbol" w:hAnsi="Symbol" w:hint="default"/>
      </w:rPr>
    </w:lvl>
    <w:lvl w:ilvl="7" w:tplc="280A0003" w:tentative="1">
      <w:start w:val="1"/>
      <w:numFmt w:val="bullet"/>
      <w:lvlText w:val="o"/>
      <w:lvlJc w:val="left"/>
      <w:pPr>
        <w:ind w:left="5930" w:hanging="360"/>
      </w:pPr>
      <w:rPr>
        <w:rFonts w:ascii="Courier New" w:hAnsi="Courier New" w:cs="Courier New" w:hint="default"/>
      </w:rPr>
    </w:lvl>
    <w:lvl w:ilvl="8" w:tplc="280A0005" w:tentative="1">
      <w:start w:val="1"/>
      <w:numFmt w:val="bullet"/>
      <w:lvlText w:val=""/>
      <w:lvlJc w:val="left"/>
      <w:pPr>
        <w:ind w:left="6650" w:hanging="360"/>
      </w:pPr>
      <w:rPr>
        <w:rFonts w:ascii="Wingdings" w:hAnsi="Wingdings" w:hint="default"/>
      </w:rPr>
    </w:lvl>
  </w:abstractNum>
  <w:abstractNum w:abstractNumId="2" w15:restartNumberingAfterBreak="0">
    <w:nsid w:val="250E3984"/>
    <w:multiLevelType w:val="hybridMultilevel"/>
    <w:tmpl w:val="CD08545E"/>
    <w:lvl w:ilvl="0" w:tplc="1102CF66">
      <w:start w:val="1"/>
      <w:numFmt w:val="decimal"/>
      <w:lvlText w:val="%1."/>
      <w:lvlJc w:val="left"/>
      <w:pPr>
        <w:ind w:left="517" w:hanging="375"/>
      </w:pPr>
      <w:rPr>
        <w:rFonts w:ascii="Rockwell" w:hAnsi="Rockwell" w:hint="default"/>
        <w:color w:val="0070C0"/>
        <w:sz w:val="40"/>
      </w:rPr>
    </w:lvl>
    <w:lvl w:ilvl="1" w:tplc="280A0019" w:tentative="1">
      <w:start w:val="1"/>
      <w:numFmt w:val="lowerLetter"/>
      <w:lvlText w:val="%2."/>
      <w:lvlJc w:val="left"/>
      <w:pPr>
        <w:ind w:left="1222" w:hanging="360"/>
      </w:pPr>
    </w:lvl>
    <w:lvl w:ilvl="2" w:tplc="280A001B" w:tentative="1">
      <w:start w:val="1"/>
      <w:numFmt w:val="lowerRoman"/>
      <w:lvlText w:val="%3."/>
      <w:lvlJc w:val="right"/>
      <w:pPr>
        <w:ind w:left="1942" w:hanging="180"/>
      </w:pPr>
    </w:lvl>
    <w:lvl w:ilvl="3" w:tplc="280A000F" w:tentative="1">
      <w:start w:val="1"/>
      <w:numFmt w:val="decimal"/>
      <w:lvlText w:val="%4."/>
      <w:lvlJc w:val="left"/>
      <w:pPr>
        <w:ind w:left="2662" w:hanging="360"/>
      </w:pPr>
    </w:lvl>
    <w:lvl w:ilvl="4" w:tplc="280A0019" w:tentative="1">
      <w:start w:val="1"/>
      <w:numFmt w:val="lowerLetter"/>
      <w:lvlText w:val="%5."/>
      <w:lvlJc w:val="left"/>
      <w:pPr>
        <w:ind w:left="3382" w:hanging="360"/>
      </w:pPr>
    </w:lvl>
    <w:lvl w:ilvl="5" w:tplc="280A001B" w:tentative="1">
      <w:start w:val="1"/>
      <w:numFmt w:val="lowerRoman"/>
      <w:lvlText w:val="%6."/>
      <w:lvlJc w:val="right"/>
      <w:pPr>
        <w:ind w:left="4102" w:hanging="180"/>
      </w:pPr>
    </w:lvl>
    <w:lvl w:ilvl="6" w:tplc="280A000F" w:tentative="1">
      <w:start w:val="1"/>
      <w:numFmt w:val="decimal"/>
      <w:lvlText w:val="%7."/>
      <w:lvlJc w:val="left"/>
      <w:pPr>
        <w:ind w:left="4822" w:hanging="360"/>
      </w:pPr>
    </w:lvl>
    <w:lvl w:ilvl="7" w:tplc="280A0019" w:tentative="1">
      <w:start w:val="1"/>
      <w:numFmt w:val="lowerLetter"/>
      <w:lvlText w:val="%8."/>
      <w:lvlJc w:val="left"/>
      <w:pPr>
        <w:ind w:left="5542" w:hanging="360"/>
      </w:pPr>
    </w:lvl>
    <w:lvl w:ilvl="8" w:tplc="280A001B" w:tentative="1">
      <w:start w:val="1"/>
      <w:numFmt w:val="lowerRoman"/>
      <w:lvlText w:val="%9."/>
      <w:lvlJc w:val="right"/>
      <w:pPr>
        <w:ind w:left="6262" w:hanging="180"/>
      </w:pPr>
    </w:lvl>
  </w:abstractNum>
  <w:abstractNum w:abstractNumId="3" w15:restartNumberingAfterBreak="0">
    <w:nsid w:val="28051436"/>
    <w:multiLevelType w:val="hybridMultilevel"/>
    <w:tmpl w:val="3EBE48F8"/>
    <w:lvl w:ilvl="0" w:tplc="080A0005">
      <w:start w:val="1"/>
      <w:numFmt w:val="bullet"/>
      <w:lvlText w:val=""/>
      <w:lvlJc w:val="left"/>
      <w:pPr>
        <w:ind w:left="890" w:hanging="360"/>
      </w:pPr>
      <w:rPr>
        <w:rFonts w:ascii="Wingdings" w:hAnsi="Wingdings" w:hint="default"/>
      </w:rPr>
    </w:lvl>
    <w:lvl w:ilvl="1" w:tplc="280A0003" w:tentative="1">
      <w:start w:val="1"/>
      <w:numFmt w:val="bullet"/>
      <w:lvlText w:val="o"/>
      <w:lvlJc w:val="left"/>
      <w:pPr>
        <w:ind w:left="1610" w:hanging="360"/>
      </w:pPr>
      <w:rPr>
        <w:rFonts w:ascii="Courier New" w:hAnsi="Courier New" w:cs="Courier New" w:hint="default"/>
      </w:rPr>
    </w:lvl>
    <w:lvl w:ilvl="2" w:tplc="280A0005" w:tentative="1">
      <w:start w:val="1"/>
      <w:numFmt w:val="bullet"/>
      <w:lvlText w:val=""/>
      <w:lvlJc w:val="left"/>
      <w:pPr>
        <w:ind w:left="2330" w:hanging="360"/>
      </w:pPr>
      <w:rPr>
        <w:rFonts w:ascii="Wingdings" w:hAnsi="Wingdings" w:hint="default"/>
      </w:rPr>
    </w:lvl>
    <w:lvl w:ilvl="3" w:tplc="280A0001" w:tentative="1">
      <w:start w:val="1"/>
      <w:numFmt w:val="bullet"/>
      <w:lvlText w:val=""/>
      <w:lvlJc w:val="left"/>
      <w:pPr>
        <w:ind w:left="3050" w:hanging="360"/>
      </w:pPr>
      <w:rPr>
        <w:rFonts w:ascii="Symbol" w:hAnsi="Symbol" w:hint="default"/>
      </w:rPr>
    </w:lvl>
    <w:lvl w:ilvl="4" w:tplc="280A0003" w:tentative="1">
      <w:start w:val="1"/>
      <w:numFmt w:val="bullet"/>
      <w:lvlText w:val="o"/>
      <w:lvlJc w:val="left"/>
      <w:pPr>
        <w:ind w:left="3770" w:hanging="360"/>
      </w:pPr>
      <w:rPr>
        <w:rFonts w:ascii="Courier New" w:hAnsi="Courier New" w:cs="Courier New" w:hint="default"/>
      </w:rPr>
    </w:lvl>
    <w:lvl w:ilvl="5" w:tplc="280A0005" w:tentative="1">
      <w:start w:val="1"/>
      <w:numFmt w:val="bullet"/>
      <w:lvlText w:val=""/>
      <w:lvlJc w:val="left"/>
      <w:pPr>
        <w:ind w:left="4490" w:hanging="360"/>
      </w:pPr>
      <w:rPr>
        <w:rFonts w:ascii="Wingdings" w:hAnsi="Wingdings" w:hint="default"/>
      </w:rPr>
    </w:lvl>
    <w:lvl w:ilvl="6" w:tplc="280A0001" w:tentative="1">
      <w:start w:val="1"/>
      <w:numFmt w:val="bullet"/>
      <w:lvlText w:val=""/>
      <w:lvlJc w:val="left"/>
      <w:pPr>
        <w:ind w:left="5210" w:hanging="360"/>
      </w:pPr>
      <w:rPr>
        <w:rFonts w:ascii="Symbol" w:hAnsi="Symbol" w:hint="default"/>
      </w:rPr>
    </w:lvl>
    <w:lvl w:ilvl="7" w:tplc="280A0003" w:tentative="1">
      <w:start w:val="1"/>
      <w:numFmt w:val="bullet"/>
      <w:lvlText w:val="o"/>
      <w:lvlJc w:val="left"/>
      <w:pPr>
        <w:ind w:left="5930" w:hanging="360"/>
      </w:pPr>
      <w:rPr>
        <w:rFonts w:ascii="Courier New" w:hAnsi="Courier New" w:cs="Courier New" w:hint="default"/>
      </w:rPr>
    </w:lvl>
    <w:lvl w:ilvl="8" w:tplc="280A0005" w:tentative="1">
      <w:start w:val="1"/>
      <w:numFmt w:val="bullet"/>
      <w:lvlText w:val=""/>
      <w:lvlJc w:val="left"/>
      <w:pPr>
        <w:ind w:left="6650" w:hanging="360"/>
      </w:pPr>
      <w:rPr>
        <w:rFonts w:ascii="Wingdings" w:hAnsi="Wingdings" w:hint="default"/>
      </w:rPr>
    </w:lvl>
  </w:abstractNum>
  <w:abstractNum w:abstractNumId="4" w15:restartNumberingAfterBreak="0">
    <w:nsid w:val="39604FBB"/>
    <w:multiLevelType w:val="hybridMultilevel"/>
    <w:tmpl w:val="1702043A"/>
    <w:lvl w:ilvl="0" w:tplc="080A0005">
      <w:start w:val="1"/>
      <w:numFmt w:val="bullet"/>
      <w:lvlText w:val=""/>
      <w:lvlJc w:val="left"/>
      <w:pPr>
        <w:ind w:left="890" w:hanging="360"/>
      </w:pPr>
      <w:rPr>
        <w:rFonts w:ascii="Wingdings" w:hAnsi="Wingdings" w:hint="default"/>
      </w:rPr>
    </w:lvl>
    <w:lvl w:ilvl="1" w:tplc="280A0003" w:tentative="1">
      <w:start w:val="1"/>
      <w:numFmt w:val="bullet"/>
      <w:lvlText w:val="o"/>
      <w:lvlJc w:val="left"/>
      <w:pPr>
        <w:ind w:left="1610" w:hanging="360"/>
      </w:pPr>
      <w:rPr>
        <w:rFonts w:ascii="Courier New" w:hAnsi="Courier New" w:cs="Courier New" w:hint="default"/>
      </w:rPr>
    </w:lvl>
    <w:lvl w:ilvl="2" w:tplc="280A0005" w:tentative="1">
      <w:start w:val="1"/>
      <w:numFmt w:val="bullet"/>
      <w:lvlText w:val=""/>
      <w:lvlJc w:val="left"/>
      <w:pPr>
        <w:ind w:left="2330" w:hanging="360"/>
      </w:pPr>
      <w:rPr>
        <w:rFonts w:ascii="Wingdings" w:hAnsi="Wingdings" w:hint="default"/>
      </w:rPr>
    </w:lvl>
    <w:lvl w:ilvl="3" w:tplc="280A0001" w:tentative="1">
      <w:start w:val="1"/>
      <w:numFmt w:val="bullet"/>
      <w:lvlText w:val=""/>
      <w:lvlJc w:val="left"/>
      <w:pPr>
        <w:ind w:left="3050" w:hanging="360"/>
      </w:pPr>
      <w:rPr>
        <w:rFonts w:ascii="Symbol" w:hAnsi="Symbol" w:hint="default"/>
      </w:rPr>
    </w:lvl>
    <w:lvl w:ilvl="4" w:tplc="280A0003" w:tentative="1">
      <w:start w:val="1"/>
      <w:numFmt w:val="bullet"/>
      <w:lvlText w:val="o"/>
      <w:lvlJc w:val="left"/>
      <w:pPr>
        <w:ind w:left="3770" w:hanging="360"/>
      </w:pPr>
      <w:rPr>
        <w:rFonts w:ascii="Courier New" w:hAnsi="Courier New" w:cs="Courier New" w:hint="default"/>
      </w:rPr>
    </w:lvl>
    <w:lvl w:ilvl="5" w:tplc="280A0005" w:tentative="1">
      <w:start w:val="1"/>
      <w:numFmt w:val="bullet"/>
      <w:lvlText w:val=""/>
      <w:lvlJc w:val="left"/>
      <w:pPr>
        <w:ind w:left="4490" w:hanging="360"/>
      </w:pPr>
      <w:rPr>
        <w:rFonts w:ascii="Wingdings" w:hAnsi="Wingdings" w:hint="default"/>
      </w:rPr>
    </w:lvl>
    <w:lvl w:ilvl="6" w:tplc="280A0001" w:tentative="1">
      <w:start w:val="1"/>
      <w:numFmt w:val="bullet"/>
      <w:lvlText w:val=""/>
      <w:lvlJc w:val="left"/>
      <w:pPr>
        <w:ind w:left="5210" w:hanging="360"/>
      </w:pPr>
      <w:rPr>
        <w:rFonts w:ascii="Symbol" w:hAnsi="Symbol" w:hint="default"/>
      </w:rPr>
    </w:lvl>
    <w:lvl w:ilvl="7" w:tplc="280A0003" w:tentative="1">
      <w:start w:val="1"/>
      <w:numFmt w:val="bullet"/>
      <w:lvlText w:val="o"/>
      <w:lvlJc w:val="left"/>
      <w:pPr>
        <w:ind w:left="5930" w:hanging="360"/>
      </w:pPr>
      <w:rPr>
        <w:rFonts w:ascii="Courier New" w:hAnsi="Courier New" w:cs="Courier New" w:hint="default"/>
      </w:rPr>
    </w:lvl>
    <w:lvl w:ilvl="8" w:tplc="280A0005" w:tentative="1">
      <w:start w:val="1"/>
      <w:numFmt w:val="bullet"/>
      <w:lvlText w:val=""/>
      <w:lvlJc w:val="left"/>
      <w:pPr>
        <w:ind w:left="6650" w:hanging="360"/>
      </w:pPr>
      <w:rPr>
        <w:rFonts w:ascii="Wingdings" w:hAnsi="Wingdings" w:hint="default"/>
      </w:rPr>
    </w:lvl>
  </w:abstractNum>
  <w:abstractNum w:abstractNumId="5" w15:restartNumberingAfterBreak="0">
    <w:nsid w:val="3D3F52D5"/>
    <w:multiLevelType w:val="hybridMultilevel"/>
    <w:tmpl w:val="18D4BC78"/>
    <w:lvl w:ilvl="0" w:tplc="080A0005">
      <w:start w:val="1"/>
      <w:numFmt w:val="bullet"/>
      <w:lvlText w:val=""/>
      <w:lvlJc w:val="left"/>
      <w:pPr>
        <w:ind w:left="890" w:hanging="360"/>
      </w:pPr>
      <w:rPr>
        <w:rFonts w:ascii="Wingdings" w:hAnsi="Wingdings" w:hint="default"/>
      </w:rPr>
    </w:lvl>
    <w:lvl w:ilvl="1" w:tplc="280A0003" w:tentative="1">
      <w:start w:val="1"/>
      <w:numFmt w:val="bullet"/>
      <w:lvlText w:val="o"/>
      <w:lvlJc w:val="left"/>
      <w:pPr>
        <w:ind w:left="1610" w:hanging="360"/>
      </w:pPr>
      <w:rPr>
        <w:rFonts w:ascii="Courier New" w:hAnsi="Courier New" w:cs="Courier New" w:hint="default"/>
      </w:rPr>
    </w:lvl>
    <w:lvl w:ilvl="2" w:tplc="280A0005" w:tentative="1">
      <w:start w:val="1"/>
      <w:numFmt w:val="bullet"/>
      <w:lvlText w:val=""/>
      <w:lvlJc w:val="left"/>
      <w:pPr>
        <w:ind w:left="2330" w:hanging="360"/>
      </w:pPr>
      <w:rPr>
        <w:rFonts w:ascii="Wingdings" w:hAnsi="Wingdings" w:hint="default"/>
      </w:rPr>
    </w:lvl>
    <w:lvl w:ilvl="3" w:tplc="280A0001" w:tentative="1">
      <w:start w:val="1"/>
      <w:numFmt w:val="bullet"/>
      <w:lvlText w:val=""/>
      <w:lvlJc w:val="left"/>
      <w:pPr>
        <w:ind w:left="3050" w:hanging="360"/>
      </w:pPr>
      <w:rPr>
        <w:rFonts w:ascii="Symbol" w:hAnsi="Symbol" w:hint="default"/>
      </w:rPr>
    </w:lvl>
    <w:lvl w:ilvl="4" w:tplc="280A0003" w:tentative="1">
      <w:start w:val="1"/>
      <w:numFmt w:val="bullet"/>
      <w:lvlText w:val="o"/>
      <w:lvlJc w:val="left"/>
      <w:pPr>
        <w:ind w:left="3770" w:hanging="360"/>
      </w:pPr>
      <w:rPr>
        <w:rFonts w:ascii="Courier New" w:hAnsi="Courier New" w:cs="Courier New" w:hint="default"/>
      </w:rPr>
    </w:lvl>
    <w:lvl w:ilvl="5" w:tplc="280A0005" w:tentative="1">
      <w:start w:val="1"/>
      <w:numFmt w:val="bullet"/>
      <w:lvlText w:val=""/>
      <w:lvlJc w:val="left"/>
      <w:pPr>
        <w:ind w:left="4490" w:hanging="360"/>
      </w:pPr>
      <w:rPr>
        <w:rFonts w:ascii="Wingdings" w:hAnsi="Wingdings" w:hint="default"/>
      </w:rPr>
    </w:lvl>
    <w:lvl w:ilvl="6" w:tplc="280A0001" w:tentative="1">
      <w:start w:val="1"/>
      <w:numFmt w:val="bullet"/>
      <w:lvlText w:val=""/>
      <w:lvlJc w:val="left"/>
      <w:pPr>
        <w:ind w:left="5210" w:hanging="360"/>
      </w:pPr>
      <w:rPr>
        <w:rFonts w:ascii="Symbol" w:hAnsi="Symbol" w:hint="default"/>
      </w:rPr>
    </w:lvl>
    <w:lvl w:ilvl="7" w:tplc="280A0003" w:tentative="1">
      <w:start w:val="1"/>
      <w:numFmt w:val="bullet"/>
      <w:lvlText w:val="o"/>
      <w:lvlJc w:val="left"/>
      <w:pPr>
        <w:ind w:left="5930" w:hanging="360"/>
      </w:pPr>
      <w:rPr>
        <w:rFonts w:ascii="Courier New" w:hAnsi="Courier New" w:cs="Courier New" w:hint="default"/>
      </w:rPr>
    </w:lvl>
    <w:lvl w:ilvl="8" w:tplc="280A0005" w:tentative="1">
      <w:start w:val="1"/>
      <w:numFmt w:val="bullet"/>
      <w:lvlText w:val=""/>
      <w:lvlJc w:val="left"/>
      <w:pPr>
        <w:ind w:left="6650" w:hanging="360"/>
      </w:pPr>
      <w:rPr>
        <w:rFonts w:ascii="Wingdings" w:hAnsi="Wingdings" w:hint="default"/>
      </w:rPr>
    </w:lvl>
  </w:abstractNum>
  <w:abstractNum w:abstractNumId="6" w15:restartNumberingAfterBreak="0">
    <w:nsid w:val="62AB76B9"/>
    <w:multiLevelType w:val="hybridMultilevel"/>
    <w:tmpl w:val="E09C567A"/>
    <w:lvl w:ilvl="0" w:tplc="080A0005">
      <w:start w:val="1"/>
      <w:numFmt w:val="bullet"/>
      <w:lvlText w:val=""/>
      <w:lvlJc w:val="left"/>
      <w:pPr>
        <w:ind w:left="890" w:hanging="360"/>
      </w:pPr>
      <w:rPr>
        <w:rFonts w:ascii="Wingdings" w:hAnsi="Wingdings" w:hint="default"/>
      </w:rPr>
    </w:lvl>
    <w:lvl w:ilvl="1" w:tplc="280A0003" w:tentative="1">
      <w:start w:val="1"/>
      <w:numFmt w:val="bullet"/>
      <w:lvlText w:val="o"/>
      <w:lvlJc w:val="left"/>
      <w:pPr>
        <w:ind w:left="1610" w:hanging="360"/>
      </w:pPr>
      <w:rPr>
        <w:rFonts w:ascii="Courier New" w:hAnsi="Courier New" w:cs="Courier New" w:hint="default"/>
      </w:rPr>
    </w:lvl>
    <w:lvl w:ilvl="2" w:tplc="280A0005" w:tentative="1">
      <w:start w:val="1"/>
      <w:numFmt w:val="bullet"/>
      <w:lvlText w:val=""/>
      <w:lvlJc w:val="left"/>
      <w:pPr>
        <w:ind w:left="2330" w:hanging="360"/>
      </w:pPr>
      <w:rPr>
        <w:rFonts w:ascii="Wingdings" w:hAnsi="Wingdings" w:hint="default"/>
      </w:rPr>
    </w:lvl>
    <w:lvl w:ilvl="3" w:tplc="280A0001" w:tentative="1">
      <w:start w:val="1"/>
      <w:numFmt w:val="bullet"/>
      <w:lvlText w:val=""/>
      <w:lvlJc w:val="left"/>
      <w:pPr>
        <w:ind w:left="3050" w:hanging="360"/>
      </w:pPr>
      <w:rPr>
        <w:rFonts w:ascii="Symbol" w:hAnsi="Symbol" w:hint="default"/>
      </w:rPr>
    </w:lvl>
    <w:lvl w:ilvl="4" w:tplc="280A0003" w:tentative="1">
      <w:start w:val="1"/>
      <w:numFmt w:val="bullet"/>
      <w:lvlText w:val="o"/>
      <w:lvlJc w:val="left"/>
      <w:pPr>
        <w:ind w:left="3770" w:hanging="360"/>
      </w:pPr>
      <w:rPr>
        <w:rFonts w:ascii="Courier New" w:hAnsi="Courier New" w:cs="Courier New" w:hint="default"/>
      </w:rPr>
    </w:lvl>
    <w:lvl w:ilvl="5" w:tplc="280A0005" w:tentative="1">
      <w:start w:val="1"/>
      <w:numFmt w:val="bullet"/>
      <w:lvlText w:val=""/>
      <w:lvlJc w:val="left"/>
      <w:pPr>
        <w:ind w:left="4490" w:hanging="360"/>
      </w:pPr>
      <w:rPr>
        <w:rFonts w:ascii="Wingdings" w:hAnsi="Wingdings" w:hint="default"/>
      </w:rPr>
    </w:lvl>
    <w:lvl w:ilvl="6" w:tplc="280A0001" w:tentative="1">
      <w:start w:val="1"/>
      <w:numFmt w:val="bullet"/>
      <w:lvlText w:val=""/>
      <w:lvlJc w:val="left"/>
      <w:pPr>
        <w:ind w:left="5210" w:hanging="360"/>
      </w:pPr>
      <w:rPr>
        <w:rFonts w:ascii="Symbol" w:hAnsi="Symbol" w:hint="default"/>
      </w:rPr>
    </w:lvl>
    <w:lvl w:ilvl="7" w:tplc="280A0003" w:tentative="1">
      <w:start w:val="1"/>
      <w:numFmt w:val="bullet"/>
      <w:lvlText w:val="o"/>
      <w:lvlJc w:val="left"/>
      <w:pPr>
        <w:ind w:left="5930" w:hanging="360"/>
      </w:pPr>
      <w:rPr>
        <w:rFonts w:ascii="Courier New" w:hAnsi="Courier New" w:cs="Courier New" w:hint="default"/>
      </w:rPr>
    </w:lvl>
    <w:lvl w:ilvl="8" w:tplc="280A0005" w:tentative="1">
      <w:start w:val="1"/>
      <w:numFmt w:val="bullet"/>
      <w:lvlText w:val=""/>
      <w:lvlJc w:val="left"/>
      <w:pPr>
        <w:ind w:left="6650" w:hanging="360"/>
      </w:pPr>
      <w:rPr>
        <w:rFonts w:ascii="Wingdings" w:hAnsi="Wingdings" w:hint="default"/>
      </w:rPr>
    </w:lvl>
  </w:abstractNum>
  <w:abstractNum w:abstractNumId="7" w15:restartNumberingAfterBreak="0">
    <w:nsid w:val="6C721B46"/>
    <w:multiLevelType w:val="hybridMultilevel"/>
    <w:tmpl w:val="5B22AA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70B40AF1"/>
    <w:multiLevelType w:val="hybridMultilevel"/>
    <w:tmpl w:val="BD72742E"/>
    <w:lvl w:ilvl="0" w:tplc="080A0005">
      <w:start w:val="1"/>
      <w:numFmt w:val="bullet"/>
      <w:lvlText w:val=""/>
      <w:lvlJc w:val="left"/>
      <w:pPr>
        <w:ind w:left="890" w:hanging="360"/>
      </w:pPr>
      <w:rPr>
        <w:rFonts w:ascii="Wingdings" w:hAnsi="Wingdings" w:hint="default"/>
      </w:rPr>
    </w:lvl>
    <w:lvl w:ilvl="1" w:tplc="280A0003" w:tentative="1">
      <w:start w:val="1"/>
      <w:numFmt w:val="bullet"/>
      <w:lvlText w:val="o"/>
      <w:lvlJc w:val="left"/>
      <w:pPr>
        <w:ind w:left="1610" w:hanging="360"/>
      </w:pPr>
      <w:rPr>
        <w:rFonts w:ascii="Courier New" w:hAnsi="Courier New" w:cs="Courier New" w:hint="default"/>
      </w:rPr>
    </w:lvl>
    <w:lvl w:ilvl="2" w:tplc="280A0005" w:tentative="1">
      <w:start w:val="1"/>
      <w:numFmt w:val="bullet"/>
      <w:lvlText w:val=""/>
      <w:lvlJc w:val="left"/>
      <w:pPr>
        <w:ind w:left="2330" w:hanging="360"/>
      </w:pPr>
      <w:rPr>
        <w:rFonts w:ascii="Wingdings" w:hAnsi="Wingdings" w:hint="default"/>
      </w:rPr>
    </w:lvl>
    <w:lvl w:ilvl="3" w:tplc="280A0001" w:tentative="1">
      <w:start w:val="1"/>
      <w:numFmt w:val="bullet"/>
      <w:lvlText w:val=""/>
      <w:lvlJc w:val="left"/>
      <w:pPr>
        <w:ind w:left="3050" w:hanging="360"/>
      </w:pPr>
      <w:rPr>
        <w:rFonts w:ascii="Symbol" w:hAnsi="Symbol" w:hint="default"/>
      </w:rPr>
    </w:lvl>
    <w:lvl w:ilvl="4" w:tplc="280A0003" w:tentative="1">
      <w:start w:val="1"/>
      <w:numFmt w:val="bullet"/>
      <w:lvlText w:val="o"/>
      <w:lvlJc w:val="left"/>
      <w:pPr>
        <w:ind w:left="3770" w:hanging="360"/>
      </w:pPr>
      <w:rPr>
        <w:rFonts w:ascii="Courier New" w:hAnsi="Courier New" w:cs="Courier New" w:hint="default"/>
      </w:rPr>
    </w:lvl>
    <w:lvl w:ilvl="5" w:tplc="280A0005" w:tentative="1">
      <w:start w:val="1"/>
      <w:numFmt w:val="bullet"/>
      <w:lvlText w:val=""/>
      <w:lvlJc w:val="left"/>
      <w:pPr>
        <w:ind w:left="4490" w:hanging="360"/>
      </w:pPr>
      <w:rPr>
        <w:rFonts w:ascii="Wingdings" w:hAnsi="Wingdings" w:hint="default"/>
      </w:rPr>
    </w:lvl>
    <w:lvl w:ilvl="6" w:tplc="280A0001" w:tentative="1">
      <w:start w:val="1"/>
      <w:numFmt w:val="bullet"/>
      <w:lvlText w:val=""/>
      <w:lvlJc w:val="left"/>
      <w:pPr>
        <w:ind w:left="5210" w:hanging="360"/>
      </w:pPr>
      <w:rPr>
        <w:rFonts w:ascii="Symbol" w:hAnsi="Symbol" w:hint="default"/>
      </w:rPr>
    </w:lvl>
    <w:lvl w:ilvl="7" w:tplc="280A0003" w:tentative="1">
      <w:start w:val="1"/>
      <w:numFmt w:val="bullet"/>
      <w:lvlText w:val="o"/>
      <w:lvlJc w:val="left"/>
      <w:pPr>
        <w:ind w:left="5930" w:hanging="360"/>
      </w:pPr>
      <w:rPr>
        <w:rFonts w:ascii="Courier New" w:hAnsi="Courier New" w:cs="Courier New" w:hint="default"/>
      </w:rPr>
    </w:lvl>
    <w:lvl w:ilvl="8" w:tplc="280A0005" w:tentative="1">
      <w:start w:val="1"/>
      <w:numFmt w:val="bullet"/>
      <w:lvlText w:val=""/>
      <w:lvlJc w:val="left"/>
      <w:pPr>
        <w:ind w:left="6650" w:hanging="360"/>
      </w:pPr>
      <w:rPr>
        <w:rFonts w:ascii="Wingdings" w:hAnsi="Wingdings" w:hint="default"/>
      </w:rPr>
    </w:lvl>
  </w:abstractNum>
  <w:num w:numId="1" w16cid:durableId="1540705290">
    <w:abstractNumId w:val="8"/>
  </w:num>
  <w:num w:numId="2" w16cid:durableId="507600210">
    <w:abstractNumId w:val="6"/>
  </w:num>
  <w:num w:numId="3" w16cid:durableId="10838093">
    <w:abstractNumId w:val="4"/>
  </w:num>
  <w:num w:numId="4" w16cid:durableId="1362320975">
    <w:abstractNumId w:val="5"/>
  </w:num>
  <w:num w:numId="5" w16cid:durableId="533272280">
    <w:abstractNumId w:val="0"/>
  </w:num>
  <w:num w:numId="6" w16cid:durableId="1001666627">
    <w:abstractNumId w:val="1"/>
  </w:num>
  <w:num w:numId="7" w16cid:durableId="1936815412">
    <w:abstractNumId w:val="3"/>
  </w:num>
  <w:num w:numId="8" w16cid:durableId="987712304">
    <w:abstractNumId w:val="7"/>
  </w:num>
  <w:num w:numId="9" w16cid:durableId="138235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7F"/>
    <w:rsid w:val="00026BB2"/>
    <w:rsid w:val="00041819"/>
    <w:rsid w:val="0006086F"/>
    <w:rsid w:val="00097E00"/>
    <w:rsid w:val="000D0E61"/>
    <w:rsid w:val="000D34AD"/>
    <w:rsid w:val="00107DFD"/>
    <w:rsid w:val="0015431C"/>
    <w:rsid w:val="00157299"/>
    <w:rsid w:val="001709E8"/>
    <w:rsid w:val="001822D1"/>
    <w:rsid w:val="001D093E"/>
    <w:rsid w:val="001E36D8"/>
    <w:rsid w:val="00236DA9"/>
    <w:rsid w:val="00242DB2"/>
    <w:rsid w:val="00277E38"/>
    <w:rsid w:val="0029004B"/>
    <w:rsid w:val="002C212C"/>
    <w:rsid w:val="00302D76"/>
    <w:rsid w:val="00351F63"/>
    <w:rsid w:val="00361D0B"/>
    <w:rsid w:val="00371A03"/>
    <w:rsid w:val="003A6BFF"/>
    <w:rsid w:val="003A7461"/>
    <w:rsid w:val="003B71D7"/>
    <w:rsid w:val="003C4D98"/>
    <w:rsid w:val="003D5E02"/>
    <w:rsid w:val="00415CA2"/>
    <w:rsid w:val="00430363"/>
    <w:rsid w:val="0043334B"/>
    <w:rsid w:val="004806EB"/>
    <w:rsid w:val="00481E74"/>
    <w:rsid w:val="004A3453"/>
    <w:rsid w:val="004B589C"/>
    <w:rsid w:val="00575F2D"/>
    <w:rsid w:val="005A3F14"/>
    <w:rsid w:val="005A7F84"/>
    <w:rsid w:val="005F1CAC"/>
    <w:rsid w:val="00623D14"/>
    <w:rsid w:val="006719D5"/>
    <w:rsid w:val="006A4B7E"/>
    <w:rsid w:val="006B6083"/>
    <w:rsid w:val="006C375A"/>
    <w:rsid w:val="006C412C"/>
    <w:rsid w:val="006E2650"/>
    <w:rsid w:val="0070149C"/>
    <w:rsid w:val="0071678C"/>
    <w:rsid w:val="00726D3C"/>
    <w:rsid w:val="00734F09"/>
    <w:rsid w:val="00735D87"/>
    <w:rsid w:val="00783B9F"/>
    <w:rsid w:val="0078738D"/>
    <w:rsid w:val="00791850"/>
    <w:rsid w:val="0079403B"/>
    <w:rsid w:val="007A0F44"/>
    <w:rsid w:val="007A1CF7"/>
    <w:rsid w:val="008111C1"/>
    <w:rsid w:val="00812377"/>
    <w:rsid w:val="00857C5E"/>
    <w:rsid w:val="008B1891"/>
    <w:rsid w:val="00981E44"/>
    <w:rsid w:val="009A221B"/>
    <w:rsid w:val="009A7603"/>
    <w:rsid w:val="009C4415"/>
    <w:rsid w:val="009F66CE"/>
    <w:rsid w:val="009F6766"/>
    <w:rsid w:val="00A03B10"/>
    <w:rsid w:val="00A14EC9"/>
    <w:rsid w:val="00A40E5C"/>
    <w:rsid w:val="00A62DE6"/>
    <w:rsid w:val="00A66A8E"/>
    <w:rsid w:val="00A84DD4"/>
    <w:rsid w:val="00AA5019"/>
    <w:rsid w:val="00AB0E83"/>
    <w:rsid w:val="00AB65D3"/>
    <w:rsid w:val="00B10290"/>
    <w:rsid w:val="00B22305"/>
    <w:rsid w:val="00B31F68"/>
    <w:rsid w:val="00B52C9B"/>
    <w:rsid w:val="00B61C16"/>
    <w:rsid w:val="00B67615"/>
    <w:rsid w:val="00B81E1C"/>
    <w:rsid w:val="00B973CC"/>
    <w:rsid w:val="00BB4AF0"/>
    <w:rsid w:val="00C02A9D"/>
    <w:rsid w:val="00C17CF0"/>
    <w:rsid w:val="00C42832"/>
    <w:rsid w:val="00C4367F"/>
    <w:rsid w:val="00C86956"/>
    <w:rsid w:val="00C87D85"/>
    <w:rsid w:val="00CF606A"/>
    <w:rsid w:val="00D13BB2"/>
    <w:rsid w:val="00D67A78"/>
    <w:rsid w:val="00D70F5A"/>
    <w:rsid w:val="00DA15A1"/>
    <w:rsid w:val="00DB3EC6"/>
    <w:rsid w:val="00DC3F93"/>
    <w:rsid w:val="00DD079F"/>
    <w:rsid w:val="00DD3E1E"/>
    <w:rsid w:val="00DD4AF7"/>
    <w:rsid w:val="00DD542B"/>
    <w:rsid w:val="00DE67F7"/>
    <w:rsid w:val="00E27F2B"/>
    <w:rsid w:val="00E35B9E"/>
    <w:rsid w:val="00E40FFC"/>
    <w:rsid w:val="00E5104F"/>
    <w:rsid w:val="00E54AB6"/>
    <w:rsid w:val="00E568D7"/>
    <w:rsid w:val="00E56B69"/>
    <w:rsid w:val="00E87B04"/>
    <w:rsid w:val="00EB2929"/>
    <w:rsid w:val="00EC5931"/>
    <w:rsid w:val="00ED2518"/>
    <w:rsid w:val="00EE1129"/>
    <w:rsid w:val="00EF0367"/>
    <w:rsid w:val="00EF6563"/>
    <w:rsid w:val="00F06553"/>
    <w:rsid w:val="00F20F35"/>
    <w:rsid w:val="00F21E8E"/>
    <w:rsid w:val="00F33536"/>
    <w:rsid w:val="00F62381"/>
    <w:rsid w:val="00F730EF"/>
    <w:rsid w:val="00F8174F"/>
    <w:rsid w:val="00FA42F4"/>
    <w:rsid w:val="00FC01D1"/>
    <w:rsid w:val="00FC0AC1"/>
    <w:rsid w:val="00FD5DE0"/>
    <w:rsid w:val="00FF24F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58275"/>
  <w15:chartTrackingRefBased/>
  <w15:docId w15:val="{157532FB-EB68-43F0-ACD5-D284FE7E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7E38"/>
    <w:pPr>
      <w:ind w:left="720"/>
      <w:contextualSpacing/>
    </w:pPr>
  </w:style>
  <w:style w:type="paragraph" w:styleId="NormalWeb">
    <w:name w:val="Normal (Web)"/>
    <w:basedOn w:val="Normal"/>
    <w:uiPriority w:val="99"/>
    <w:semiHidden/>
    <w:unhideWhenUsed/>
    <w:rsid w:val="007A1CF7"/>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styleId="Hipervnculo">
    <w:name w:val="Hyperlink"/>
    <w:basedOn w:val="Fuentedeprrafopredeter"/>
    <w:uiPriority w:val="99"/>
    <w:semiHidden/>
    <w:unhideWhenUsed/>
    <w:rsid w:val="007A1CF7"/>
    <w:rPr>
      <w:color w:val="0000FF"/>
      <w:u w:val="single"/>
    </w:rPr>
  </w:style>
  <w:style w:type="paragraph" w:styleId="Encabezado">
    <w:name w:val="header"/>
    <w:basedOn w:val="Normal"/>
    <w:link w:val="EncabezadoCar"/>
    <w:uiPriority w:val="99"/>
    <w:unhideWhenUsed/>
    <w:rsid w:val="00FA42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A42F4"/>
  </w:style>
  <w:style w:type="paragraph" w:styleId="Piedepgina">
    <w:name w:val="footer"/>
    <w:basedOn w:val="Normal"/>
    <w:link w:val="PiedepginaCar"/>
    <w:uiPriority w:val="99"/>
    <w:unhideWhenUsed/>
    <w:rsid w:val="00FA42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42F4"/>
  </w:style>
  <w:style w:type="paragraph" w:styleId="Textonotapie">
    <w:name w:val="footnote text"/>
    <w:basedOn w:val="Normal"/>
    <w:link w:val="TextonotapieCar"/>
    <w:uiPriority w:val="99"/>
    <w:semiHidden/>
    <w:unhideWhenUsed/>
    <w:rsid w:val="00D67A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67A78"/>
    <w:rPr>
      <w:sz w:val="20"/>
      <w:szCs w:val="20"/>
      <w:lang w:val="es-ES"/>
    </w:rPr>
  </w:style>
  <w:style w:type="character" w:styleId="Refdenotaalpie">
    <w:name w:val="footnote reference"/>
    <w:basedOn w:val="Fuentedeprrafopredeter"/>
    <w:uiPriority w:val="99"/>
    <w:semiHidden/>
    <w:unhideWhenUsed/>
    <w:rsid w:val="00D67A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4322010">
      <w:bodyDiv w:val="1"/>
      <w:marLeft w:val="0"/>
      <w:marRight w:val="0"/>
      <w:marTop w:val="0"/>
      <w:marBottom w:val="0"/>
      <w:divBdr>
        <w:top w:val="none" w:sz="0" w:space="0" w:color="auto"/>
        <w:left w:val="none" w:sz="0" w:space="0" w:color="auto"/>
        <w:bottom w:val="none" w:sz="0" w:space="0" w:color="auto"/>
        <w:right w:val="none" w:sz="0" w:space="0" w:color="auto"/>
      </w:divBdr>
      <w:divsChild>
        <w:div w:id="1801260958">
          <w:blockQuote w:val="1"/>
          <w:marLeft w:val="720"/>
          <w:marRight w:val="720"/>
          <w:marTop w:val="100"/>
          <w:marBottom w:val="100"/>
          <w:divBdr>
            <w:top w:val="none" w:sz="0" w:space="0" w:color="auto"/>
            <w:left w:val="none" w:sz="0" w:space="0" w:color="auto"/>
            <w:bottom w:val="none" w:sz="0" w:space="0" w:color="auto"/>
            <w:right w:val="none" w:sz="0" w:space="0" w:color="auto"/>
          </w:divBdr>
        </w:div>
        <w:div w:id="831026159">
          <w:blockQuote w:val="1"/>
          <w:marLeft w:val="720"/>
          <w:marRight w:val="720"/>
          <w:marTop w:val="100"/>
          <w:marBottom w:val="100"/>
          <w:divBdr>
            <w:top w:val="none" w:sz="0" w:space="0" w:color="auto"/>
            <w:left w:val="none" w:sz="0" w:space="0" w:color="auto"/>
            <w:bottom w:val="none" w:sz="0" w:space="0" w:color="auto"/>
            <w:right w:val="none" w:sz="0" w:space="0" w:color="auto"/>
          </w:divBdr>
        </w:div>
        <w:div w:id="856040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25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8928637">
      <w:bodyDiv w:val="1"/>
      <w:marLeft w:val="0"/>
      <w:marRight w:val="0"/>
      <w:marTop w:val="0"/>
      <w:marBottom w:val="0"/>
      <w:divBdr>
        <w:top w:val="none" w:sz="0" w:space="0" w:color="auto"/>
        <w:left w:val="none" w:sz="0" w:space="0" w:color="auto"/>
        <w:bottom w:val="none" w:sz="0" w:space="0" w:color="auto"/>
        <w:right w:val="none" w:sz="0" w:space="0" w:color="auto"/>
      </w:divBdr>
      <w:divsChild>
        <w:div w:id="1931885974">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94169-EDE3-4EA7-89B5-2ACF30AE9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6124</Words>
  <Characters>33686</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2024-09-21T03:32:00Z</dcterms:created>
  <dcterms:modified xsi:type="dcterms:W3CDTF">2024-09-21T03:32:00Z</dcterms:modified>
</cp:coreProperties>
</file>