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40" w:lineRule="auto"/>
        <w:ind w:firstLine="170"/>
        <w:jc w:val="right"/>
        <w:rPr>
          <w:rFonts w:ascii="Rockwell" w:cs="Rockwell" w:eastAsia="Rockwell" w:hAnsi="Rockwell"/>
          <w:b w:val="1"/>
          <w:i w:val="1"/>
          <w:color w:val="0070c0"/>
        </w:rPr>
      </w:pPr>
      <w:r w:rsidDel="00000000" w:rsidR="00000000" w:rsidRPr="00000000">
        <w:rPr>
          <w:rFonts w:ascii="Rockwell" w:cs="Rockwell" w:eastAsia="Rockwell" w:hAnsi="Rockwell"/>
          <w:b w:val="1"/>
          <w:i w:val="1"/>
          <w:color w:val="0070c0"/>
          <w:rtl w:val="0"/>
        </w:rPr>
        <w:t xml:space="preserve">Ponencia del Dr. Leonel Falcón Guerra (*)</w:t>
      </w:r>
    </w:p>
    <w:p w:rsidR="00000000" w:rsidDel="00000000" w:rsidP="00000000" w:rsidRDefault="00000000" w:rsidRPr="00000000" w14:paraId="00000002">
      <w:pPr>
        <w:shd w:fill="ffffff" w:val="clear"/>
        <w:spacing w:after="0" w:line="240" w:lineRule="auto"/>
        <w:ind w:firstLine="170"/>
        <w:jc w:val="both"/>
        <w:rPr>
          <w:rFonts w:ascii="Rockwell" w:cs="Rockwell" w:eastAsia="Rockwell" w:hAnsi="Rockwell"/>
          <w:b w:val="1"/>
          <w:i w:val="1"/>
          <w:color w:val="7f7f7f"/>
        </w:rPr>
      </w:pPr>
      <w:r w:rsidDel="00000000" w:rsidR="00000000" w:rsidRPr="00000000">
        <w:rPr>
          <w:rtl w:val="0"/>
        </w:rPr>
      </w:r>
    </w:p>
    <w:p w:rsidR="00000000" w:rsidDel="00000000" w:rsidP="00000000" w:rsidRDefault="00000000" w:rsidRPr="00000000" w14:paraId="00000003">
      <w:pPr>
        <w:shd w:fill="ffffff" w:val="clear"/>
        <w:spacing w:after="0" w:line="240" w:lineRule="auto"/>
        <w:ind w:firstLine="170"/>
        <w:jc w:val="both"/>
        <w:rPr>
          <w:rFonts w:ascii="Rockwell" w:cs="Rockwell" w:eastAsia="Rockwell" w:hAnsi="Rockwell"/>
          <w:b w:val="1"/>
          <w:i w:val="1"/>
          <w:color w:val="2e75b5"/>
          <w:sz w:val="20"/>
          <w:szCs w:val="20"/>
        </w:rPr>
      </w:pPr>
      <w:r w:rsidDel="00000000" w:rsidR="00000000" w:rsidRPr="00000000">
        <w:rPr>
          <w:rFonts w:ascii="Rockwell" w:cs="Rockwell" w:eastAsia="Rockwell" w:hAnsi="Rockwell"/>
          <w:b w:val="1"/>
          <w:i w:val="1"/>
          <w:color w:val="7f7f7f"/>
          <w:sz w:val="20"/>
          <w:szCs w:val="20"/>
          <w:rtl w:val="0"/>
        </w:rPr>
        <w:t xml:space="preserve">Integrante de la </w:t>
      </w:r>
      <w:r w:rsidDel="00000000" w:rsidR="00000000" w:rsidRPr="00000000">
        <w:rPr>
          <w:rFonts w:ascii="Rockwell" w:cs="Rockwell" w:eastAsia="Rockwell" w:hAnsi="Rockwell"/>
          <w:b w:val="1"/>
          <w:i w:val="1"/>
          <w:color w:val="0070c0"/>
          <w:sz w:val="20"/>
          <w:szCs w:val="20"/>
          <w:rtl w:val="0"/>
        </w:rPr>
        <w:t xml:space="preserve">delegación de Perú </w:t>
      </w:r>
      <w:r w:rsidDel="00000000" w:rsidR="00000000" w:rsidRPr="00000000">
        <w:rPr>
          <w:rFonts w:ascii="Rockwell" w:cs="Rockwell" w:eastAsia="Rockwell" w:hAnsi="Rockwell"/>
          <w:b w:val="1"/>
          <w:i w:val="1"/>
          <w:color w:val="7f7f7f"/>
          <w:sz w:val="20"/>
          <w:szCs w:val="20"/>
          <w:rtl w:val="0"/>
        </w:rPr>
        <w:t xml:space="preserve">en el xxv Seminario Internacional Los Partidos y la Nueva Sociedad </w:t>
      </w:r>
      <w:r w:rsidDel="00000000" w:rsidR="00000000" w:rsidRPr="00000000">
        <w:rPr>
          <w:rFonts w:ascii="Rockwell" w:cs="Rockwell" w:eastAsia="Rockwell" w:hAnsi="Rockwell"/>
          <w:b w:val="1"/>
          <w:i w:val="1"/>
          <w:color w:val="2e75b5"/>
          <w:sz w:val="20"/>
          <w:szCs w:val="20"/>
          <w:rtl w:val="0"/>
        </w:rPr>
        <w:t xml:space="preserve">/ Ciudad de México 21, 22, 23 de octubre 2021</w:t>
      </w:r>
    </w:p>
    <w:p w:rsidR="00000000" w:rsidDel="00000000" w:rsidP="00000000" w:rsidRDefault="00000000" w:rsidRPr="00000000" w14:paraId="00000004">
      <w:pPr>
        <w:shd w:fill="ffffff" w:val="clear"/>
        <w:spacing w:after="0" w:line="240" w:lineRule="auto"/>
        <w:ind w:firstLine="170"/>
        <w:jc w:val="both"/>
        <w:rPr>
          <w:rFonts w:ascii="Arial" w:cs="Arial" w:eastAsia="Arial" w:hAnsi="Arial"/>
          <w:b w:val="1"/>
          <w:i w:val="1"/>
          <w:color w:val="2e75b5"/>
          <w:sz w:val="28"/>
          <w:szCs w:val="28"/>
        </w:rPr>
      </w:pPr>
      <w:r w:rsidDel="00000000" w:rsidR="00000000" w:rsidRPr="00000000">
        <w:rPr>
          <w:rtl w:val="0"/>
        </w:rPr>
      </w:r>
    </w:p>
    <w:p w:rsidR="00000000" w:rsidDel="00000000" w:rsidP="00000000" w:rsidRDefault="00000000" w:rsidRPr="00000000" w14:paraId="00000005">
      <w:pPr>
        <w:shd w:fill="ffffff" w:val="clear"/>
        <w:spacing w:after="0" w:line="240" w:lineRule="auto"/>
        <w:ind w:firstLine="170"/>
        <w:rPr>
          <w:rFonts w:ascii="Arial" w:cs="Arial" w:eastAsia="Arial" w:hAnsi="Arial"/>
          <w:i w:val="1"/>
          <w:color w:val="2e75b5"/>
          <w:sz w:val="56"/>
          <w:szCs w:val="56"/>
        </w:rPr>
      </w:pPr>
      <w:r w:rsidDel="00000000" w:rsidR="00000000" w:rsidRPr="00000000">
        <w:rPr>
          <w:rFonts w:ascii="Arial" w:cs="Arial" w:eastAsia="Arial" w:hAnsi="Arial"/>
          <w:b w:val="1"/>
          <w:i w:val="1"/>
          <w:color w:val="2e75b5"/>
          <w:sz w:val="56"/>
          <w:szCs w:val="56"/>
          <w:rtl w:val="0"/>
        </w:rPr>
        <w:t xml:space="preserve">1</w:t>
      </w:r>
      <w:r w:rsidDel="00000000" w:rsidR="00000000" w:rsidRPr="00000000">
        <w:rPr>
          <w:rFonts w:ascii="Arial" w:cs="Arial" w:eastAsia="Arial" w:hAnsi="Arial"/>
          <w:i w:val="1"/>
          <w:color w:val="2e75b5"/>
          <w:sz w:val="56"/>
          <w:szCs w:val="56"/>
          <w:rtl w:val="0"/>
        </w:rPr>
        <w:t xml:space="preserve">    </w:t>
      </w:r>
      <w:r w:rsidDel="00000000" w:rsidR="00000000" w:rsidRPr="00000000">
        <w:rPr>
          <w:rFonts w:ascii="Open Sans" w:cs="Open Sans" w:eastAsia="Open Sans" w:hAnsi="Open Sans"/>
          <w:b w:val="1"/>
          <w:i w:val="1"/>
          <w:color w:val="2e75b5"/>
          <w:sz w:val="56"/>
          <w:szCs w:val="56"/>
          <w:rtl w:val="0"/>
        </w:rPr>
        <w:t xml:space="preserve">LOS 43 DE AYOTZINAPA</w:t>
      </w:r>
      <w:r w:rsidDel="00000000" w:rsidR="00000000" w:rsidRPr="00000000">
        <w:rPr>
          <w:rtl w:val="0"/>
        </w:rPr>
      </w:r>
    </w:p>
    <w:p w:rsidR="00000000" w:rsidDel="00000000" w:rsidP="00000000" w:rsidRDefault="00000000" w:rsidRPr="00000000" w14:paraId="00000006">
      <w:pPr>
        <w:shd w:fill="ffffff" w:val="clear"/>
        <w:spacing w:after="0" w:before="120" w:line="240" w:lineRule="auto"/>
        <w:ind w:firstLine="170"/>
        <w:jc w:val="both"/>
        <w:rPr>
          <w:rFonts w:ascii="Rockwell" w:cs="Rockwell" w:eastAsia="Rockwell" w:hAnsi="Rockwell"/>
          <w:color w:val="262626"/>
          <w:sz w:val="18"/>
          <w:szCs w:val="18"/>
        </w:rPr>
      </w:pPr>
      <w:r w:rsidDel="00000000" w:rsidR="00000000" w:rsidRPr="00000000">
        <w:rPr>
          <w:rFonts w:ascii="Rockwell" w:cs="Rockwell" w:eastAsia="Rockwell" w:hAnsi="Rockwell"/>
          <w:color w:val="262626"/>
          <w:sz w:val="18"/>
          <w:szCs w:val="18"/>
          <w:rtl w:val="0"/>
        </w:rPr>
        <w:t xml:space="preserve">Un total de 43 estudiantes de la </w:t>
      </w:r>
      <w:r w:rsidDel="00000000" w:rsidR="00000000" w:rsidRPr="00000000">
        <w:rPr>
          <w:rFonts w:ascii="Rockwell" w:cs="Rockwell" w:eastAsia="Rockwell" w:hAnsi="Rockwell"/>
          <w:b w:val="1"/>
          <w:color w:val="262626"/>
          <w:sz w:val="18"/>
          <w:szCs w:val="18"/>
          <w:rtl w:val="0"/>
        </w:rPr>
        <w:t xml:space="preserve">Escuela Normal Raúl Isidro Burgos de Ayotzinapa,</w:t>
      </w:r>
      <w:r w:rsidDel="00000000" w:rsidR="00000000" w:rsidRPr="00000000">
        <w:rPr>
          <w:rFonts w:ascii="Rockwell" w:cs="Rockwell" w:eastAsia="Rockwell" w:hAnsi="Rockwell"/>
          <w:color w:val="262626"/>
          <w:sz w:val="18"/>
          <w:szCs w:val="18"/>
          <w:rtl w:val="0"/>
        </w:rPr>
        <w:t xml:space="preserve"> </w:t>
      </w:r>
      <w:hyperlink r:id="rId6">
        <w:r w:rsidDel="00000000" w:rsidR="00000000" w:rsidRPr="00000000">
          <w:rPr>
            <w:rFonts w:ascii="Rockwell" w:cs="Rockwell" w:eastAsia="Rockwell" w:hAnsi="Rockwell"/>
            <w:b w:val="1"/>
            <w:sz w:val="18"/>
            <w:szCs w:val="18"/>
            <w:rtl w:val="0"/>
          </w:rPr>
          <w:t xml:space="preserve">desaparecieron entre el 26 y 27 de septiembre de 2014</w:t>
        </w:r>
      </w:hyperlink>
      <w:r w:rsidDel="00000000" w:rsidR="00000000" w:rsidRPr="00000000">
        <w:rPr>
          <w:rFonts w:ascii="Rockwell" w:cs="Rockwell" w:eastAsia="Rockwell" w:hAnsi="Rockwell"/>
          <w:b w:val="1"/>
          <w:color w:val="262626"/>
          <w:sz w:val="18"/>
          <w:szCs w:val="18"/>
          <w:rtl w:val="0"/>
        </w:rPr>
        <w:t xml:space="preserve"> en Iguala, estado de Guerrero</w:t>
      </w:r>
      <w:r w:rsidDel="00000000" w:rsidR="00000000" w:rsidRPr="00000000">
        <w:rPr>
          <w:rFonts w:ascii="Rockwell" w:cs="Rockwell" w:eastAsia="Rockwell" w:hAnsi="Rockwell"/>
          <w:b w:val="1"/>
          <w:sz w:val="18"/>
          <w:szCs w:val="18"/>
          <w:rtl w:val="0"/>
        </w:rPr>
        <w:t xml:space="preserve">,</w:t>
      </w:r>
      <w:r w:rsidDel="00000000" w:rsidR="00000000" w:rsidRPr="00000000">
        <w:rPr>
          <w:rFonts w:ascii="Rockwell" w:cs="Rockwell" w:eastAsia="Rockwell" w:hAnsi="Rockwell"/>
          <w:sz w:val="18"/>
          <w:szCs w:val="18"/>
          <w:rtl w:val="0"/>
        </w:rPr>
        <w:t xml:space="preserve"> </w:t>
      </w:r>
      <w:r w:rsidDel="00000000" w:rsidR="00000000" w:rsidRPr="00000000">
        <w:rPr>
          <w:rFonts w:ascii="Rockwell" w:cs="Rockwell" w:eastAsia="Rockwell" w:hAnsi="Rockwell"/>
          <w:color w:val="262626"/>
          <w:sz w:val="18"/>
          <w:szCs w:val="18"/>
          <w:rtl w:val="0"/>
        </w:rPr>
        <w:t xml:space="preserve">cuando iban a una manifestación y fueron atacados por oficiales de policía asociados con un cártel del narcotráfico. Luego de ser ejecutados, sus cuerpos fueron incinerados en un basurero de Cocula y los restos arrojados al río San Juan. La denominada "verdad histórica" relató que los estudiantes fueron entregados al cártel  </w:t>
      </w:r>
      <w:r w:rsidDel="00000000" w:rsidR="00000000" w:rsidRPr="00000000">
        <w:rPr>
          <w:rFonts w:ascii="Rockwell" w:cs="Rockwell" w:eastAsia="Rockwell" w:hAnsi="Rockwell"/>
          <w:b w:val="1"/>
          <w:color w:val="262626"/>
          <w:sz w:val="18"/>
          <w:szCs w:val="18"/>
          <w:rtl w:val="0"/>
        </w:rPr>
        <w:t xml:space="preserve">Guerreros Unidos,</w:t>
      </w:r>
      <w:r w:rsidDel="00000000" w:rsidR="00000000" w:rsidRPr="00000000">
        <w:rPr>
          <w:rFonts w:ascii="Rockwell" w:cs="Rockwell" w:eastAsia="Rockwell" w:hAnsi="Rockwell"/>
          <w:color w:val="262626"/>
          <w:sz w:val="18"/>
          <w:szCs w:val="18"/>
          <w:rtl w:val="0"/>
        </w:rPr>
        <w:t xml:space="preserve"> quienes los asesinaron.</w:t>
      </w:r>
    </w:p>
    <w:p w:rsidR="00000000" w:rsidDel="00000000" w:rsidP="00000000" w:rsidRDefault="00000000" w:rsidRPr="00000000" w14:paraId="00000007">
      <w:pPr>
        <w:shd w:fill="ffffff" w:val="clear"/>
        <w:spacing w:after="0" w:before="120" w:line="240" w:lineRule="auto"/>
        <w:ind w:firstLine="170"/>
        <w:jc w:val="both"/>
        <w:rPr>
          <w:rFonts w:ascii="Rockwell" w:cs="Rockwell" w:eastAsia="Rockwell" w:hAnsi="Rockwell"/>
          <w:color w:val="262626"/>
          <w:sz w:val="18"/>
          <w:szCs w:val="18"/>
        </w:rPr>
      </w:pPr>
      <w:r w:rsidDel="00000000" w:rsidR="00000000" w:rsidRPr="00000000">
        <w:rPr>
          <w:rFonts w:ascii="Rockwell" w:cs="Rockwell" w:eastAsia="Rockwell" w:hAnsi="Rockwell"/>
          <w:color w:val="262626"/>
          <w:sz w:val="18"/>
          <w:szCs w:val="18"/>
          <w:rtl w:val="0"/>
        </w:rPr>
        <w:t xml:space="preserve">Esta versión del </w:t>
      </w:r>
      <w:r w:rsidDel="00000000" w:rsidR="00000000" w:rsidRPr="00000000">
        <w:rPr>
          <w:rFonts w:ascii="Rockwell" w:cs="Rockwell" w:eastAsia="Rockwell" w:hAnsi="Rockwell"/>
          <w:b w:val="1"/>
          <w:color w:val="262626"/>
          <w:sz w:val="18"/>
          <w:szCs w:val="18"/>
          <w:rtl w:val="0"/>
        </w:rPr>
        <w:t xml:space="preserve">gobierno de</w:t>
      </w:r>
      <w:r w:rsidDel="00000000" w:rsidR="00000000" w:rsidRPr="00000000">
        <w:rPr>
          <w:rFonts w:ascii="Rockwell" w:cs="Rockwell" w:eastAsia="Rockwell" w:hAnsi="Rockwell"/>
          <w:color w:val="262626"/>
          <w:sz w:val="18"/>
          <w:szCs w:val="18"/>
          <w:rtl w:val="0"/>
        </w:rPr>
        <w:t xml:space="preserve"> </w:t>
      </w:r>
      <w:r w:rsidDel="00000000" w:rsidR="00000000" w:rsidRPr="00000000">
        <w:rPr>
          <w:rFonts w:ascii="Rockwell" w:cs="Rockwell" w:eastAsia="Rockwell" w:hAnsi="Rockwell"/>
          <w:b w:val="1"/>
          <w:color w:val="262626"/>
          <w:sz w:val="18"/>
          <w:szCs w:val="18"/>
          <w:rtl w:val="0"/>
        </w:rPr>
        <w:t xml:space="preserve">Enrique Peña Nieto (2012-2018) </w:t>
      </w:r>
      <w:hyperlink r:id="rId7">
        <w:r w:rsidDel="00000000" w:rsidR="00000000" w:rsidRPr="00000000">
          <w:rPr>
            <w:rFonts w:ascii="Rockwell" w:cs="Rockwell" w:eastAsia="Rockwell" w:hAnsi="Rockwell"/>
            <w:sz w:val="18"/>
            <w:szCs w:val="18"/>
            <w:rtl w:val="0"/>
          </w:rPr>
          <w:t xml:space="preserve">fue desacreditada un año después</w:t>
        </w:r>
      </w:hyperlink>
      <w:r w:rsidDel="00000000" w:rsidR="00000000" w:rsidRPr="00000000">
        <w:rPr>
          <w:rFonts w:ascii="Rockwell" w:cs="Rockwell" w:eastAsia="Rockwell" w:hAnsi="Rockwell"/>
          <w:color w:val="262626"/>
          <w:sz w:val="18"/>
          <w:szCs w:val="18"/>
          <w:rtl w:val="0"/>
        </w:rPr>
        <w:t xml:space="preserve">, en 2015, por un grupo independiente de expertos forenses contratado por la Comisión Interamericana de Derechos Humanos con sede en San José de Costa Rica. Los expertos concluyeron que </w:t>
      </w:r>
      <w:hyperlink r:id="rId8">
        <w:r w:rsidDel="00000000" w:rsidR="00000000" w:rsidRPr="00000000">
          <w:rPr>
            <w:rFonts w:ascii="Rockwell" w:cs="Rockwell" w:eastAsia="Rockwell" w:hAnsi="Rockwell"/>
            <w:sz w:val="18"/>
            <w:szCs w:val="18"/>
            <w:rtl w:val="0"/>
          </w:rPr>
          <w:t xml:space="preserve">no había evidencia</w:t>
        </w:r>
      </w:hyperlink>
      <w:r w:rsidDel="00000000" w:rsidR="00000000" w:rsidRPr="00000000">
        <w:rPr>
          <w:rFonts w:ascii="Rockwell" w:cs="Rockwell" w:eastAsia="Rockwell" w:hAnsi="Rockwell"/>
          <w:sz w:val="18"/>
          <w:szCs w:val="18"/>
          <w:rtl w:val="0"/>
        </w:rPr>
        <w:t xml:space="preserve"> </w:t>
      </w:r>
      <w:r w:rsidDel="00000000" w:rsidR="00000000" w:rsidRPr="00000000">
        <w:rPr>
          <w:rFonts w:ascii="Rockwell" w:cs="Rockwell" w:eastAsia="Rockwell" w:hAnsi="Rockwell"/>
          <w:color w:val="262626"/>
          <w:sz w:val="18"/>
          <w:szCs w:val="18"/>
          <w:rtl w:val="0"/>
        </w:rPr>
        <w:t xml:space="preserve">que se hubiera registrado ningún incendio en el referido lugar.</w:t>
      </w:r>
    </w:p>
    <w:p w:rsidR="00000000" w:rsidDel="00000000" w:rsidP="00000000" w:rsidRDefault="00000000" w:rsidRPr="00000000" w14:paraId="00000008">
      <w:pPr>
        <w:shd w:fill="ffffff" w:val="clear"/>
        <w:spacing w:after="0" w:before="120" w:line="240" w:lineRule="auto"/>
        <w:ind w:firstLine="170"/>
        <w:jc w:val="both"/>
        <w:rPr>
          <w:rFonts w:ascii="Rockwell" w:cs="Rockwell" w:eastAsia="Rockwell" w:hAnsi="Rockwell"/>
          <w:b w:val="1"/>
          <w:color w:val="262626"/>
          <w:sz w:val="18"/>
          <w:szCs w:val="18"/>
        </w:rPr>
      </w:pPr>
      <w:r w:rsidDel="00000000" w:rsidR="00000000" w:rsidRPr="00000000">
        <w:rPr>
          <w:rFonts w:ascii="Rockwell" w:cs="Rockwell" w:eastAsia="Rockwell" w:hAnsi="Rockwell"/>
          <w:b w:val="1"/>
          <w:color w:val="262626"/>
          <w:sz w:val="18"/>
          <w:szCs w:val="18"/>
          <w:rtl w:val="0"/>
        </w:rPr>
        <w:t xml:space="preserve">Entre septiembre de 2014 y agosto de 2018</w:t>
      </w:r>
      <w:r w:rsidDel="00000000" w:rsidR="00000000" w:rsidRPr="00000000">
        <w:rPr>
          <w:rFonts w:ascii="Rockwell" w:cs="Rockwell" w:eastAsia="Rockwell" w:hAnsi="Rockwell"/>
          <w:color w:val="262626"/>
          <w:sz w:val="18"/>
          <w:szCs w:val="18"/>
          <w:rtl w:val="0"/>
        </w:rPr>
        <w:t xml:space="preserve"> fueron detenidas </w:t>
      </w:r>
      <w:hyperlink r:id="rId9">
        <w:r w:rsidDel="00000000" w:rsidR="00000000" w:rsidRPr="00000000">
          <w:rPr>
            <w:rFonts w:ascii="Rockwell" w:cs="Rockwell" w:eastAsia="Rockwell" w:hAnsi="Rockwell"/>
            <w:sz w:val="18"/>
            <w:szCs w:val="18"/>
            <w:rtl w:val="0"/>
          </w:rPr>
          <w:t xml:space="preserve">142 personas</w:t>
        </w:r>
      </w:hyperlink>
      <w:r w:rsidDel="00000000" w:rsidR="00000000" w:rsidRPr="00000000">
        <w:rPr>
          <w:rFonts w:ascii="Rockwell" w:cs="Rockwell" w:eastAsia="Rockwell" w:hAnsi="Rockwell"/>
          <w:sz w:val="18"/>
          <w:szCs w:val="18"/>
          <w:rtl w:val="0"/>
        </w:rPr>
        <w:t xml:space="preserve">, </w:t>
      </w:r>
      <w:hyperlink r:id="rId10">
        <w:r w:rsidDel="00000000" w:rsidR="00000000" w:rsidRPr="00000000">
          <w:rPr>
            <w:rFonts w:ascii="Rockwell" w:cs="Rockwell" w:eastAsia="Rockwell" w:hAnsi="Rockwell"/>
            <w:sz w:val="18"/>
            <w:szCs w:val="18"/>
            <w:rtl w:val="0"/>
          </w:rPr>
          <w:t xml:space="preserve">particularmente civiles</w:t>
        </w:r>
      </w:hyperlink>
      <w:r w:rsidDel="00000000" w:rsidR="00000000" w:rsidRPr="00000000">
        <w:rPr>
          <w:rFonts w:ascii="Rockwell" w:cs="Rockwell" w:eastAsia="Rockwell" w:hAnsi="Rockwell"/>
          <w:sz w:val="18"/>
          <w:szCs w:val="18"/>
          <w:rtl w:val="0"/>
        </w:rPr>
        <w:t xml:space="preserve">, presuntamente</w:t>
      </w:r>
      <w:r w:rsidDel="00000000" w:rsidR="00000000" w:rsidRPr="00000000">
        <w:rPr>
          <w:rFonts w:ascii="Rockwell" w:cs="Rockwell" w:eastAsia="Rockwell" w:hAnsi="Rockwell"/>
          <w:color w:val="262626"/>
          <w:sz w:val="18"/>
          <w:szCs w:val="18"/>
          <w:rtl w:val="0"/>
        </w:rPr>
        <w:t xml:space="preserve"> vinculados al cártel de Guerreros Unidos, así como a policías municipales de Iguala y Cocula</w:t>
      </w:r>
      <w:r w:rsidDel="00000000" w:rsidR="00000000" w:rsidRPr="00000000">
        <w:rPr>
          <w:rFonts w:ascii="Rockwell" w:cs="Rockwell" w:eastAsia="Rockwell" w:hAnsi="Rockwell"/>
          <w:b w:val="1"/>
          <w:color w:val="262626"/>
          <w:sz w:val="18"/>
          <w:szCs w:val="18"/>
          <w:rtl w:val="0"/>
        </w:rPr>
        <w:t xml:space="preserve">.</w:t>
      </w:r>
    </w:p>
    <w:p w:rsidR="00000000" w:rsidDel="00000000" w:rsidP="00000000" w:rsidRDefault="00000000" w:rsidRPr="00000000" w14:paraId="00000009">
      <w:pPr>
        <w:shd w:fill="ffffff" w:val="clear"/>
        <w:spacing w:after="0" w:before="120" w:line="240" w:lineRule="auto"/>
        <w:ind w:firstLine="170"/>
        <w:jc w:val="both"/>
        <w:rPr>
          <w:rFonts w:ascii="Rockwell" w:cs="Rockwell" w:eastAsia="Rockwell" w:hAnsi="Rockwell"/>
          <w:color w:val="262626"/>
          <w:sz w:val="18"/>
          <w:szCs w:val="18"/>
        </w:rPr>
      </w:pPr>
      <w:r w:rsidDel="00000000" w:rsidR="00000000" w:rsidRPr="00000000">
        <w:rPr>
          <w:rFonts w:ascii="Rockwell" w:cs="Rockwell" w:eastAsia="Rockwell" w:hAnsi="Rockwell"/>
          <w:color w:val="262626"/>
          <w:sz w:val="18"/>
          <w:szCs w:val="18"/>
          <w:rtl w:val="0"/>
        </w:rPr>
        <w:t xml:space="preserve">Sin embargo, el subsecretario de Derechos Humanos de México</w:t>
      </w:r>
      <w:r w:rsidDel="00000000" w:rsidR="00000000" w:rsidRPr="00000000">
        <w:rPr>
          <w:rFonts w:ascii="Rockwell" w:cs="Rockwell" w:eastAsia="Rockwell" w:hAnsi="Rockwell"/>
          <w:b w:val="1"/>
          <w:color w:val="262626"/>
          <w:sz w:val="18"/>
          <w:szCs w:val="18"/>
          <w:rtl w:val="0"/>
        </w:rPr>
        <w:t xml:space="preserve">, Alejandro Encinas,</w:t>
      </w:r>
      <w:r w:rsidDel="00000000" w:rsidR="00000000" w:rsidRPr="00000000">
        <w:rPr>
          <w:rFonts w:ascii="Rockwell" w:cs="Rockwell" w:eastAsia="Rockwell" w:hAnsi="Rockwell"/>
          <w:color w:val="262626"/>
          <w:sz w:val="18"/>
          <w:szCs w:val="18"/>
          <w:rtl w:val="0"/>
        </w:rPr>
        <w:t xml:space="preserve"> denunció a principios de septiembre de 2019 que en los procesos judiciales se han cometido faltas al debido proceso, por lo que 77 de los sospechosos quedaron libres. </w:t>
      </w:r>
      <w:hyperlink r:id="rId11">
        <w:r w:rsidDel="00000000" w:rsidR="00000000" w:rsidRPr="00000000">
          <w:rPr>
            <w:rFonts w:ascii="Rockwell" w:cs="Rockwell" w:eastAsia="Rockwell" w:hAnsi="Rockwell"/>
            <w:sz w:val="18"/>
            <w:szCs w:val="18"/>
            <w:rtl w:val="0"/>
          </w:rPr>
          <w:t xml:space="preserve">De las 107 pruebas</w:t>
        </w:r>
      </w:hyperlink>
      <w:r w:rsidDel="00000000" w:rsidR="00000000" w:rsidRPr="00000000">
        <w:rPr>
          <w:rFonts w:ascii="Rockwell" w:cs="Rockwell" w:eastAsia="Rockwell" w:hAnsi="Rockwell"/>
          <w:sz w:val="18"/>
          <w:szCs w:val="18"/>
          <w:rtl w:val="0"/>
        </w:rPr>
        <w:t xml:space="preserve"> </w:t>
      </w:r>
      <w:r w:rsidDel="00000000" w:rsidR="00000000" w:rsidRPr="00000000">
        <w:rPr>
          <w:rFonts w:ascii="Rockwell" w:cs="Rockwell" w:eastAsia="Rockwell" w:hAnsi="Rockwell"/>
          <w:color w:val="262626"/>
          <w:sz w:val="18"/>
          <w:szCs w:val="18"/>
          <w:rtl w:val="0"/>
        </w:rPr>
        <w:t xml:space="preserve">recabadas por la fiscalía más de la mitad han sido descartadas en las Cortes; solo 44 pruebas fueron admitidas. </w:t>
      </w:r>
    </w:p>
    <w:p w:rsidR="00000000" w:rsidDel="00000000" w:rsidP="00000000" w:rsidRDefault="00000000" w:rsidRPr="00000000" w14:paraId="0000000A">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color w:val="262626"/>
          <w:sz w:val="18"/>
          <w:szCs w:val="18"/>
          <w:rtl w:val="0"/>
        </w:rPr>
        <w:t xml:space="preserve">El gobierno del </w:t>
      </w:r>
      <w:r w:rsidDel="00000000" w:rsidR="00000000" w:rsidRPr="00000000">
        <w:rPr>
          <w:rFonts w:ascii="Rockwell" w:cs="Rockwell" w:eastAsia="Rockwell" w:hAnsi="Rockwell"/>
          <w:b w:val="1"/>
          <w:color w:val="262626"/>
          <w:sz w:val="18"/>
          <w:szCs w:val="18"/>
          <w:rtl w:val="0"/>
        </w:rPr>
        <w:t xml:space="preserve">Presidente Andrés Manuel López Obrador </w:t>
      </w:r>
      <w:r w:rsidDel="00000000" w:rsidR="00000000" w:rsidRPr="00000000">
        <w:rPr>
          <w:rFonts w:ascii="Rockwell" w:cs="Rockwell" w:eastAsia="Rockwell" w:hAnsi="Rockwell"/>
          <w:color w:val="262626"/>
          <w:sz w:val="18"/>
          <w:szCs w:val="18"/>
          <w:rtl w:val="0"/>
        </w:rPr>
        <w:t xml:space="preserve">admitió que existen fallas en el proceso y que la supuesta verdad histórica del gobierno anterior, no existe. </w:t>
      </w:r>
      <w:r w:rsidDel="00000000" w:rsidR="00000000" w:rsidRPr="00000000">
        <w:rPr>
          <w:rFonts w:ascii="Rockwell" w:cs="Rockwell" w:eastAsia="Rockwell" w:hAnsi="Rockwell"/>
          <w:b w:val="1"/>
          <w:color w:val="262626"/>
          <w:sz w:val="18"/>
          <w:szCs w:val="18"/>
          <w:rtl w:val="0"/>
        </w:rPr>
        <w:t xml:space="preserve">El Fiscal General de México, Alejandro Gertz Manero, </w:t>
      </w:r>
      <w:r w:rsidDel="00000000" w:rsidR="00000000" w:rsidRPr="00000000">
        <w:rPr>
          <w:rFonts w:ascii="Rockwell" w:cs="Rockwell" w:eastAsia="Rockwell" w:hAnsi="Rockwell"/>
          <w:color w:val="262626"/>
          <w:sz w:val="18"/>
          <w:szCs w:val="18"/>
          <w:rtl w:val="0"/>
        </w:rPr>
        <w:t xml:space="preserve">dijo a los familiares que las investigaciones </w:t>
      </w:r>
      <w:hyperlink r:id="rId12">
        <w:r w:rsidDel="00000000" w:rsidR="00000000" w:rsidRPr="00000000">
          <w:rPr>
            <w:rFonts w:ascii="Rockwell" w:cs="Rockwell" w:eastAsia="Rockwell" w:hAnsi="Rockwell"/>
            <w:sz w:val="18"/>
            <w:szCs w:val="18"/>
            <w:rtl w:val="0"/>
          </w:rPr>
          <w:t xml:space="preserve">debían empezar desde cero</w:t>
        </w:r>
      </w:hyperlink>
      <w:r w:rsidDel="00000000" w:rsidR="00000000" w:rsidRPr="00000000">
        <w:rPr>
          <w:rFonts w:ascii="Rockwell" w:cs="Rockwell" w:eastAsia="Rockwell" w:hAnsi="Rockwell"/>
          <w:sz w:val="18"/>
          <w:szCs w:val="18"/>
          <w:rtl w:val="0"/>
        </w:rPr>
        <w:t xml:space="preserve">.</w:t>
      </w:r>
    </w:p>
    <w:p w:rsidR="00000000" w:rsidDel="00000000" w:rsidP="00000000" w:rsidRDefault="00000000" w:rsidRPr="00000000" w14:paraId="0000000B">
      <w:pPr>
        <w:shd w:fill="ffffff" w:val="clear"/>
        <w:spacing w:after="0" w:before="120" w:line="240" w:lineRule="auto"/>
        <w:ind w:firstLine="170"/>
        <w:jc w:val="both"/>
        <w:rPr>
          <w:rFonts w:ascii="Rockwell" w:cs="Rockwell" w:eastAsia="Rockwell" w:hAnsi="Rockwell"/>
          <w:color w:val="262626"/>
          <w:sz w:val="18"/>
          <w:szCs w:val="18"/>
        </w:rPr>
      </w:pPr>
      <w:r w:rsidDel="00000000" w:rsidR="00000000" w:rsidRPr="00000000">
        <w:rPr>
          <w:rFonts w:ascii="Rockwell" w:cs="Rockwell" w:eastAsia="Rockwell" w:hAnsi="Rockwell"/>
          <w:color w:val="262626"/>
          <w:sz w:val="18"/>
          <w:szCs w:val="18"/>
          <w:rtl w:val="0"/>
        </w:rPr>
        <w:t xml:space="preserve">El </w:t>
      </w:r>
      <w:r w:rsidDel="00000000" w:rsidR="00000000" w:rsidRPr="00000000">
        <w:rPr>
          <w:rFonts w:ascii="Rockwell" w:cs="Rockwell" w:eastAsia="Rockwell" w:hAnsi="Rockwell"/>
          <w:b w:val="1"/>
          <w:color w:val="262626"/>
          <w:sz w:val="18"/>
          <w:szCs w:val="18"/>
          <w:rtl w:val="0"/>
        </w:rPr>
        <w:t xml:space="preserve">Presidente López Obrador</w:t>
      </w:r>
      <w:r w:rsidDel="00000000" w:rsidR="00000000" w:rsidRPr="00000000">
        <w:rPr>
          <w:rFonts w:ascii="Rockwell" w:cs="Rockwell" w:eastAsia="Rockwell" w:hAnsi="Rockwell"/>
          <w:color w:val="262626"/>
          <w:sz w:val="18"/>
          <w:szCs w:val="18"/>
          <w:rtl w:val="0"/>
        </w:rPr>
        <w:t xml:space="preserve"> dijo que el gobierno está facilitando la participación de organismos internacionales y grupos especializados en derechos humanos para continuar con las investigaciones:</w:t>
      </w:r>
    </w:p>
    <w:p w:rsidR="00000000" w:rsidDel="00000000" w:rsidP="00000000" w:rsidRDefault="00000000" w:rsidRPr="00000000" w14:paraId="0000000C">
      <w:pPr>
        <w:shd w:fill="ffffff" w:val="clear"/>
        <w:spacing w:after="0" w:before="120" w:line="240" w:lineRule="auto"/>
        <w:ind w:firstLine="170"/>
        <w:jc w:val="right"/>
        <w:rPr>
          <w:rFonts w:ascii="Rockwell" w:cs="Rockwell" w:eastAsia="Rockwell" w:hAnsi="Rockwell"/>
          <w:b w:val="1"/>
          <w:color w:val="0070c0"/>
          <w:sz w:val="18"/>
          <w:szCs w:val="18"/>
        </w:rPr>
      </w:pPr>
      <w:r w:rsidDel="00000000" w:rsidR="00000000" w:rsidRPr="00000000">
        <w:rPr>
          <w:rFonts w:ascii="Rockwell" w:cs="Rockwell" w:eastAsia="Rockwell" w:hAnsi="Rockwell"/>
          <w:b w:val="1"/>
          <w:i w:val="1"/>
          <w:color w:val="0070c0"/>
          <w:sz w:val="18"/>
          <w:szCs w:val="18"/>
          <w:rtl w:val="0"/>
        </w:rPr>
        <w:t xml:space="preserve">Fuentes: Krupskaia Alís (Ciudad de México) y Kay Guerrero (Atlanta, Estados Unidos).</w:t>
      </w:r>
      <w:r w:rsidDel="00000000" w:rsidR="00000000" w:rsidRPr="00000000">
        <w:rPr>
          <w:rtl w:val="0"/>
        </w:rPr>
      </w:r>
    </w:p>
    <w:p w:rsidR="00000000" w:rsidDel="00000000" w:rsidP="00000000" w:rsidRDefault="00000000" w:rsidRPr="00000000" w14:paraId="0000000D">
      <w:pPr>
        <w:shd w:fill="ffffff" w:val="clear"/>
        <w:spacing w:after="0" w:before="120" w:line="240" w:lineRule="auto"/>
        <w:ind w:firstLine="170"/>
        <w:jc w:val="right"/>
        <w:rPr>
          <w:rFonts w:ascii="Rockwell" w:cs="Rockwell" w:eastAsia="Rockwell" w:hAnsi="Rockwell"/>
          <w:b w:val="1"/>
          <w:color w:val="0070c0"/>
        </w:rPr>
      </w:pPr>
      <w:r w:rsidDel="00000000" w:rsidR="00000000" w:rsidRPr="00000000">
        <w:rPr>
          <w:rtl w:val="0"/>
        </w:rPr>
      </w:r>
    </w:p>
    <w:p w:rsidR="00000000" w:rsidDel="00000000" w:rsidP="00000000" w:rsidRDefault="00000000" w:rsidRPr="00000000" w14:paraId="0000000E">
      <w:pPr>
        <w:shd w:fill="ffffff" w:val="clear"/>
        <w:spacing w:after="0" w:line="240" w:lineRule="auto"/>
        <w:ind w:firstLine="170"/>
        <w:rPr>
          <w:rFonts w:ascii="Arial" w:cs="Arial" w:eastAsia="Arial" w:hAnsi="Arial"/>
          <w:b w:val="1"/>
          <w:i w:val="1"/>
          <w:color w:val="2e75b5"/>
          <w:sz w:val="56"/>
          <w:szCs w:val="56"/>
        </w:rPr>
      </w:pPr>
      <w:r w:rsidDel="00000000" w:rsidR="00000000" w:rsidRPr="00000000">
        <w:rPr>
          <w:rFonts w:ascii="Arial" w:cs="Arial" w:eastAsia="Arial" w:hAnsi="Arial"/>
          <w:b w:val="1"/>
          <w:i w:val="1"/>
          <w:color w:val="2e75b5"/>
          <w:sz w:val="56"/>
          <w:szCs w:val="56"/>
          <w:rtl w:val="0"/>
        </w:rPr>
        <w:t xml:space="preserve">2</w:t>
      </w:r>
    </w:p>
    <w:p w:rsidR="00000000" w:rsidDel="00000000" w:rsidP="00000000" w:rsidRDefault="00000000" w:rsidRPr="00000000" w14:paraId="0000000F">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El ataque transcurrió en un total de cinco horas, en al menos nueve distintos puntos y momentos. Estos hechos dejaron un total de 180 víctimas directas: seis personas ejecutadas, entre ellas un menor de edad del equipo de futbol de Los Avispones y un normalista que mostraba señas de tortura; más de 40 heridos; 80 personas, entre normalistas, maestros, civiles y tres choferes de los autobuses, que sufrieron persecución: cerca de 700 familiares de los 43 normalistas desaparecidos.</w:t>
      </w:r>
    </w:p>
    <w:p w:rsidR="00000000" w:rsidDel="00000000" w:rsidP="00000000" w:rsidRDefault="00000000" w:rsidRPr="00000000" w14:paraId="00000010">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Aunque la retención y el uso temporal de autobuses por parte de los estudiantes para realizar sus actividades ha sido habitual en Guerrero, el 26 de septiembre de 2014 la respuesta de las autoridades fue inusual: policías municipales de Iguala abrieron fuego contra los normalistas para impedir que salieran de la ciudad con los autobuses.</w:t>
      </w:r>
    </w:p>
    <w:p w:rsidR="00000000" w:rsidDel="00000000" w:rsidP="00000000" w:rsidRDefault="00000000" w:rsidRPr="00000000" w14:paraId="00000011">
      <w:pPr>
        <w:spacing w:after="0" w:before="120" w:line="240" w:lineRule="auto"/>
        <w:ind w:firstLine="170"/>
        <w:jc w:val="both"/>
        <w:rPr>
          <w:rFonts w:ascii="Rockwell" w:cs="Rockwell" w:eastAsia="Rockwell" w:hAnsi="Rockwell"/>
          <w:b w:val="1"/>
          <w:color w:val="242424"/>
          <w:sz w:val="18"/>
          <w:szCs w:val="18"/>
        </w:rPr>
      </w:pPr>
      <w:r w:rsidDel="00000000" w:rsidR="00000000" w:rsidRPr="00000000">
        <w:rPr>
          <w:rFonts w:ascii="Rockwell" w:cs="Rockwell" w:eastAsia="Rockwell" w:hAnsi="Rockwell"/>
          <w:color w:val="242424"/>
          <w:sz w:val="18"/>
          <w:szCs w:val="18"/>
          <w:rtl w:val="0"/>
        </w:rPr>
        <w:t xml:space="preserve">Con el apoyo de fuerzas estatales y militares, los policías lograron cerrarles el paso. El ataque era, como después se demostró, parte de la estructura de una organización criminal coludida con las autoridades locales: </w:t>
      </w:r>
      <w:r w:rsidDel="00000000" w:rsidR="00000000" w:rsidRPr="00000000">
        <w:rPr>
          <w:rFonts w:ascii="Rockwell" w:cs="Rockwell" w:eastAsia="Rockwell" w:hAnsi="Rockwell"/>
          <w:b w:val="1"/>
          <w:color w:val="242424"/>
          <w:sz w:val="18"/>
          <w:szCs w:val="18"/>
          <w:rtl w:val="0"/>
        </w:rPr>
        <w:t xml:space="preserve">Guerreros Unidos.</w:t>
      </w:r>
    </w:p>
    <w:p w:rsidR="00000000" w:rsidDel="00000000" w:rsidP="00000000" w:rsidRDefault="00000000" w:rsidRPr="00000000" w14:paraId="00000012">
      <w:pPr>
        <w:spacing w:after="0" w:before="120" w:line="240" w:lineRule="auto"/>
        <w:ind w:firstLine="170"/>
        <w:jc w:val="both"/>
        <w:rPr>
          <w:rFonts w:ascii="Rockwell" w:cs="Rockwell" w:eastAsia="Rockwell" w:hAnsi="Rockwell"/>
          <w:b w:val="1"/>
          <w:color w:val="242424"/>
          <w:sz w:val="18"/>
          <w:szCs w:val="18"/>
        </w:rPr>
      </w:pPr>
      <w:r w:rsidDel="00000000" w:rsidR="00000000" w:rsidRPr="00000000">
        <w:rPr>
          <w:rFonts w:ascii="Rockwell" w:cs="Rockwell" w:eastAsia="Rockwell" w:hAnsi="Rockwell"/>
          <w:color w:val="242424"/>
          <w:sz w:val="18"/>
          <w:szCs w:val="18"/>
          <w:rtl w:val="0"/>
        </w:rPr>
        <w:t xml:space="preserve">El objetivo de la desaparición forzada de los 43 normalistas sigue sin esclarecerse. Los sospechosos todavía son </w:t>
      </w:r>
      <w:r w:rsidDel="00000000" w:rsidR="00000000" w:rsidRPr="00000000">
        <w:rPr>
          <w:rFonts w:ascii="Rockwell" w:cs="Rockwell" w:eastAsia="Rockwell" w:hAnsi="Rockwell"/>
          <w:b w:val="1"/>
          <w:color w:val="242424"/>
          <w:sz w:val="18"/>
          <w:szCs w:val="18"/>
          <w:rtl w:val="0"/>
        </w:rPr>
        <w:t xml:space="preserve">el Ejército, Guerreros Unidos, el exalcalde de Iguala José Luis Abarca Velázquez y los policías municipales de Iguala y Cocula.</w:t>
      </w:r>
      <w:r w:rsidDel="00000000" w:rsidR="00000000" w:rsidRPr="00000000">
        <w:rPr>
          <w:rFonts w:ascii="Times New Roman" w:cs="Times New Roman" w:eastAsia="Times New Roman" w:hAnsi="Times New Roman"/>
          <w:b w:val="1"/>
          <w:color w:val="242424"/>
          <w:sz w:val="18"/>
          <w:szCs w:val="18"/>
          <w:rtl w:val="0"/>
        </w:rPr>
        <w:t xml:space="preserve">​</w:t>
      </w:r>
      <w:r w:rsidDel="00000000" w:rsidR="00000000" w:rsidRPr="00000000">
        <w:rPr>
          <w:rtl w:val="0"/>
        </w:rPr>
      </w:r>
    </w:p>
    <w:p w:rsidR="00000000" w:rsidDel="00000000" w:rsidP="00000000" w:rsidRDefault="00000000" w:rsidRPr="00000000" w14:paraId="00000013">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La "verdad histórica" de la Procuraduría General de la República (hoy Fiscalía) del gobierno de Peña Nieto sostuvo que tras arrestar a los 43 estudiantes normalistas, los policías de Iguala siguieron instrucciones de José Luis Abarca, entonces presidente municipal, y entregaron a los jóvenes a oficiales de Cocula, que, a su vez, los dejaron en manos de Guerreros Unidos.</w:t>
      </w:r>
    </w:p>
    <w:p w:rsidR="00000000" w:rsidDel="00000000" w:rsidP="00000000" w:rsidRDefault="00000000" w:rsidRPr="00000000" w14:paraId="00000014">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Según declaraciones de miembros de Guerreros Unidos, los estudiantes fueron trasladados al basurero municipal de Cocula hacinados y atados en dos camionetas. Cuando llegaron al lugar, 15 de los normalistas ya habían muerto por asfixia, mientras que a los sobrevivientes se les hizo un breve interrogatorio antes de recibir un disparo en la nuca.</w:t>
      </w:r>
    </w:p>
    <w:p w:rsidR="00000000" w:rsidDel="00000000" w:rsidP="00000000" w:rsidRDefault="00000000" w:rsidRPr="00000000" w14:paraId="00000015">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Después, habrían tirado los 43 cuerpos a la parte baja del basurero para prenderles fuego durante horas. Al terminar, los criminales recogieron las cenizas trituraron los huesos restantes y los arrojaron al río San Juan.</w:t>
      </w:r>
      <w:r w:rsidDel="00000000" w:rsidR="00000000" w:rsidRPr="00000000">
        <w:rPr>
          <w:rFonts w:ascii="Times New Roman" w:cs="Times New Roman" w:eastAsia="Times New Roman" w:hAnsi="Times New Roman"/>
          <w:color w:val="242424"/>
          <w:sz w:val="18"/>
          <w:szCs w:val="18"/>
          <w:rtl w:val="0"/>
        </w:rPr>
        <w:t xml:space="preserve">​</w:t>
      </w:r>
      <w:r w:rsidDel="00000000" w:rsidR="00000000" w:rsidRPr="00000000">
        <w:rPr>
          <w:rtl w:val="0"/>
        </w:rPr>
      </w:r>
    </w:p>
    <w:p w:rsidR="00000000" w:rsidDel="00000000" w:rsidP="00000000" w:rsidRDefault="00000000" w:rsidRPr="00000000" w14:paraId="00000016">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En septiembre de 2015, la Procuraduría de Arely Gómez afirmó que habían recolectados, en total, más de 63 mil fragmentos óseos en el río San Juan y el basurero de Cocula.</w:t>
      </w:r>
    </w:p>
    <w:p w:rsidR="00000000" w:rsidDel="00000000" w:rsidP="00000000" w:rsidRDefault="00000000" w:rsidRPr="00000000" w14:paraId="00000017">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b w:val="1"/>
          <w:color w:val="242424"/>
          <w:sz w:val="18"/>
          <w:szCs w:val="18"/>
          <w:rtl w:val="0"/>
        </w:rPr>
        <w:t xml:space="preserve">En la actualidad, el fiscal especial del caso Ayotzinapa, Omar Gómez Trejo,</w:t>
      </w:r>
      <w:r w:rsidDel="00000000" w:rsidR="00000000" w:rsidRPr="00000000">
        <w:rPr>
          <w:rFonts w:ascii="Rockwell" w:cs="Rockwell" w:eastAsia="Rockwell" w:hAnsi="Rockwell"/>
          <w:color w:val="242424"/>
          <w:sz w:val="18"/>
          <w:szCs w:val="18"/>
          <w:rtl w:val="0"/>
        </w:rPr>
        <w:t xml:space="preserve"> afirma que en la barranca de La Carnicería y no en el basurero de Cocula, es donde más restos óseos se han encontrado. </w:t>
      </w:r>
    </w:p>
    <w:p w:rsidR="00000000" w:rsidDel="00000000" w:rsidP="00000000" w:rsidRDefault="00000000" w:rsidRPr="00000000" w14:paraId="00000018">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Los expertos forenses contratados por la Comisión Interamericana de Derechos Humanos desestimó la versión de la Procuraduría sobre el basurero de Cocula, ubicado a más de 20 kilómetros de Iguala, porque una calcinación de esa magnitud "es científicamente imposible", y menos que pasara inadvertida, sin dejar un solo rastro de que ocurrió.</w:t>
      </w:r>
    </w:p>
    <w:p w:rsidR="00000000" w:rsidDel="00000000" w:rsidP="00000000" w:rsidRDefault="00000000" w:rsidRPr="00000000" w14:paraId="00000019">
      <w:pPr>
        <w:spacing w:after="0" w:before="120" w:line="240" w:lineRule="auto"/>
        <w:ind w:firstLine="170"/>
        <w:jc w:val="both"/>
        <w:rPr>
          <w:rFonts w:ascii="Rockwell" w:cs="Rockwell" w:eastAsia="Rockwell" w:hAnsi="Rockwell"/>
          <w:color w:val="242424"/>
          <w:sz w:val="18"/>
          <w:szCs w:val="18"/>
        </w:rPr>
      </w:pPr>
      <w:r w:rsidDel="00000000" w:rsidR="00000000" w:rsidRPr="00000000">
        <w:rPr>
          <w:rtl w:val="0"/>
        </w:rPr>
      </w:r>
    </w:p>
    <w:p w:rsidR="00000000" w:rsidDel="00000000" w:rsidP="00000000" w:rsidRDefault="00000000" w:rsidRPr="00000000" w14:paraId="0000001A">
      <w:pPr>
        <w:shd w:fill="ffffff" w:val="clear"/>
        <w:spacing w:after="0" w:line="240" w:lineRule="auto"/>
        <w:ind w:firstLine="170"/>
        <w:rPr>
          <w:rFonts w:ascii="Arial" w:cs="Arial" w:eastAsia="Arial" w:hAnsi="Arial"/>
          <w:b w:val="1"/>
          <w:i w:val="1"/>
          <w:color w:val="2e75b5"/>
          <w:sz w:val="56"/>
          <w:szCs w:val="56"/>
        </w:rPr>
      </w:pPr>
      <w:r w:rsidDel="00000000" w:rsidR="00000000" w:rsidRPr="00000000">
        <w:rPr>
          <w:rFonts w:ascii="Arial" w:cs="Arial" w:eastAsia="Arial" w:hAnsi="Arial"/>
          <w:b w:val="1"/>
          <w:i w:val="1"/>
          <w:color w:val="2e75b5"/>
          <w:sz w:val="56"/>
          <w:szCs w:val="56"/>
          <w:rtl w:val="0"/>
        </w:rPr>
        <w:t xml:space="preserve">3</w:t>
      </w:r>
    </w:p>
    <w:p w:rsidR="00000000" w:rsidDel="00000000" w:rsidP="00000000" w:rsidRDefault="00000000" w:rsidRPr="00000000" w14:paraId="0000001B">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Para incinerar 43 cuerpos a la intemperie, en un día lluvioso como el 27 de septiembre de 2014, se hubiese requerido por lo menos 30 toneladas métricas de madera o más de trece mil llantas ardiendo durante 60 horas continuas.</w:t>
      </w:r>
    </w:p>
    <w:p w:rsidR="00000000" w:rsidDel="00000000" w:rsidP="00000000" w:rsidRDefault="00000000" w:rsidRPr="00000000" w14:paraId="0000001C">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El Equipo Argentino de Antropología Forense realizó su propia investigación, cuya conclusión fue que la evidencia científica y biológica en el basurero de Cocula puede pertenecer a múltiples eventos de fuego ocurridos a lo largo de una década; es decir, no corresponde a un solo incendio que consumió 43 cuerpos humanos.</w:t>
      </w:r>
    </w:p>
    <w:p w:rsidR="00000000" w:rsidDel="00000000" w:rsidP="00000000" w:rsidRDefault="00000000" w:rsidRPr="00000000" w14:paraId="0000001D">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b w:val="1"/>
          <w:color w:val="242424"/>
          <w:sz w:val="18"/>
          <w:szCs w:val="18"/>
          <w:rtl w:val="0"/>
        </w:rPr>
        <w:t xml:space="preserve">"En el sitio del basurero de Cocula no fueron halladas señales de daño o alteración por la acción del fuego compatible con exposición a altas temperaturas necesarias para un proceso de quema de 43 cuerpos en la fecha del 26 y 27 de septiembre de 2014",</w:t>
      </w:r>
      <w:r w:rsidDel="00000000" w:rsidR="00000000" w:rsidRPr="00000000">
        <w:rPr>
          <w:rFonts w:ascii="Rockwell" w:cs="Rockwell" w:eastAsia="Rockwell" w:hAnsi="Rockwell"/>
          <w:color w:val="242424"/>
          <w:sz w:val="18"/>
          <w:szCs w:val="18"/>
          <w:rtl w:val="0"/>
        </w:rPr>
        <w:t xml:space="preserve"> señaló.</w:t>
      </w:r>
    </w:p>
    <w:p w:rsidR="00000000" w:rsidDel="00000000" w:rsidP="00000000" w:rsidRDefault="00000000" w:rsidRPr="00000000" w14:paraId="0000001E">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El 15 de junio de este año, el laboratorio de genética de la Universidad de Innsbruck, Austria, confirmó que los restos óseos hallados en la barranca de La Carnicería, a 800 metros del basurero de Cocula, corresponden al normalista </w:t>
      </w:r>
      <w:r w:rsidDel="00000000" w:rsidR="00000000" w:rsidRPr="00000000">
        <w:rPr>
          <w:rFonts w:ascii="Rockwell" w:cs="Rockwell" w:eastAsia="Rockwell" w:hAnsi="Rockwell"/>
          <w:b w:val="1"/>
          <w:color w:val="242424"/>
          <w:sz w:val="18"/>
          <w:szCs w:val="18"/>
          <w:rtl w:val="0"/>
        </w:rPr>
        <w:t xml:space="preserve">Jhosivani Guerrero.</w:t>
      </w:r>
      <w:r w:rsidDel="00000000" w:rsidR="00000000" w:rsidRPr="00000000">
        <w:rPr>
          <w:rtl w:val="0"/>
        </w:rPr>
      </w:r>
    </w:p>
    <w:p w:rsidR="00000000" w:rsidDel="00000000" w:rsidP="00000000" w:rsidRDefault="00000000" w:rsidRPr="00000000" w14:paraId="0000001F">
      <w:pPr>
        <w:spacing w:after="0" w:before="120" w:line="240" w:lineRule="auto"/>
        <w:ind w:firstLine="170"/>
        <w:jc w:val="both"/>
        <w:rPr>
          <w:rFonts w:ascii="Rockwell" w:cs="Rockwell" w:eastAsia="Rockwell" w:hAnsi="Rockwell"/>
          <w:b w:val="1"/>
          <w:color w:val="242424"/>
          <w:sz w:val="18"/>
          <w:szCs w:val="18"/>
        </w:rPr>
      </w:pPr>
      <w:r w:rsidDel="00000000" w:rsidR="00000000" w:rsidRPr="00000000">
        <w:rPr>
          <w:rFonts w:ascii="Rockwell" w:cs="Rockwell" w:eastAsia="Rockwell" w:hAnsi="Rockwell"/>
          <w:color w:val="242424"/>
          <w:sz w:val="18"/>
          <w:szCs w:val="18"/>
          <w:rtl w:val="0"/>
        </w:rPr>
        <w:t xml:space="preserve">En el mismo punto fue encontrado un hueso de </w:t>
      </w:r>
      <w:r w:rsidDel="00000000" w:rsidR="00000000" w:rsidRPr="00000000">
        <w:rPr>
          <w:rFonts w:ascii="Rockwell" w:cs="Rockwell" w:eastAsia="Rockwell" w:hAnsi="Rockwell"/>
          <w:b w:val="1"/>
          <w:color w:val="242424"/>
          <w:sz w:val="18"/>
          <w:szCs w:val="18"/>
          <w:rtl w:val="0"/>
        </w:rPr>
        <w:t xml:space="preserve">Christian Rodríguez Telumbre.</w:t>
      </w:r>
      <w:r w:rsidDel="00000000" w:rsidR="00000000" w:rsidRPr="00000000">
        <w:rPr>
          <w:rFonts w:ascii="Rockwell" w:cs="Rockwell" w:eastAsia="Rockwell" w:hAnsi="Rockwell"/>
          <w:color w:val="242424"/>
          <w:sz w:val="18"/>
          <w:szCs w:val="18"/>
          <w:rtl w:val="0"/>
        </w:rPr>
        <w:t xml:space="preserve"> En julio de 2020, la Fiscalía General de la República (FGR) confirmó que sus restos habían sido identificados también por la </w:t>
      </w:r>
      <w:r w:rsidDel="00000000" w:rsidR="00000000" w:rsidRPr="00000000">
        <w:rPr>
          <w:rFonts w:ascii="Rockwell" w:cs="Rockwell" w:eastAsia="Rockwell" w:hAnsi="Rockwell"/>
          <w:b w:val="1"/>
          <w:color w:val="242424"/>
          <w:sz w:val="18"/>
          <w:szCs w:val="18"/>
          <w:rtl w:val="0"/>
        </w:rPr>
        <w:t xml:space="preserve">Universidad de Innsbruck, Austria.</w:t>
      </w:r>
    </w:p>
    <w:p w:rsidR="00000000" w:rsidDel="00000000" w:rsidP="00000000" w:rsidRDefault="00000000" w:rsidRPr="00000000" w14:paraId="00000020">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De acuerdo con el fiscal especial del caso, los restos de los dos estudiantes identificados no mostraron signos de exposición al fuego, sino a la intemperie.</w:t>
      </w:r>
    </w:p>
    <w:p w:rsidR="00000000" w:rsidDel="00000000" w:rsidP="00000000" w:rsidRDefault="00000000" w:rsidRPr="00000000" w14:paraId="00000021">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Y en diciembre de 2014, la </w:t>
      </w:r>
      <w:r w:rsidDel="00000000" w:rsidR="00000000" w:rsidRPr="00000000">
        <w:rPr>
          <w:rFonts w:ascii="Rockwell" w:cs="Rockwell" w:eastAsia="Rockwell" w:hAnsi="Rockwell"/>
          <w:b w:val="1"/>
          <w:color w:val="242424"/>
          <w:sz w:val="18"/>
          <w:szCs w:val="18"/>
          <w:rtl w:val="0"/>
        </w:rPr>
        <w:t xml:space="preserve">Procuraduría</w:t>
      </w:r>
      <w:r w:rsidDel="00000000" w:rsidR="00000000" w:rsidRPr="00000000">
        <w:rPr>
          <w:rFonts w:ascii="Rockwell" w:cs="Rockwell" w:eastAsia="Rockwell" w:hAnsi="Rockwell"/>
          <w:color w:val="242424"/>
          <w:sz w:val="18"/>
          <w:szCs w:val="18"/>
          <w:rtl w:val="0"/>
        </w:rPr>
        <w:t xml:space="preserve"> indicó que un pedazo de muela y de hueso, localizados en el Río San Juan, correspondían </w:t>
      </w:r>
      <w:r w:rsidDel="00000000" w:rsidR="00000000" w:rsidRPr="00000000">
        <w:rPr>
          <w:rFonts w:ascii="Rockwell" w:cs="Rockwell" w:eastAsia="Rockwell" w:hAnsi="Rockwell"/>
          <w:b w:val="1"/>
          <w:color w:val="242424"/>
          <w:sz w:val="18"/>
          <w:szCs w:val="18"/>
          <w:rtl w:val="0"/>
        </w:rPr>
        <w:t xml:space="preserve">Alexander Mora Venancio.</w:t>
      </w:r>
      <w:r w:rsidDel="00000000" w:rsidR="00000000" w:rsidRPr="00000000">
        <w:rPr>
          <w:rFonts w:ascii="Rockwell" w:cs="Rockwell" w:eastAsia="Rockwell" w:hAnsi="Rockwell"/>
          <w:color w:val="242424"/>
          <w:sz w:val="18"/>
          <w:szCs w:val="18"/>
          <w:rtl w:val="0"/>
        </w:rPr>
        <w:t xml:space="preserve"> Sus restos eran tan pequeños que quedaron destruidos cuando se hizo un análisis forense en Innsbruck.</w:t>
      </w:r>
    </w:p>
    <w:p w:rsidR="00000000" w:rsidDel="00000000" w:rsidP="00000000" w:rsidRDefault="00000000" w:rsidRPr="00000000" w14:paraId="00000022">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b w:val="1"/>
          <w:color w:val="242424"/>
          <w:sz w:val="18"/>
          <w:szCs w:val="18"/>
          <w:rtl w:val="0"/>
        </w:rPr>
        <w:t xml:space="preserve">Omar Gómez Trejo, fiscal especial del caso Ayotzinapa,</w:t>
      </w:r>
      <w:r w:rsidDel="00000000" w:rsidR="00000000" w:rsidRPr="00000000">
        <w:rPr>
          <w:rFonts w:ascii="Rockwell" w:cs="Rockwell" w:eastAsia="Rockwell" w:hAnsi="Rockwell"/>
          <w:color w:val="242424"/>
          <w:sz w:val="18"/>
          <w:szCs w:val="18"/>
          <w:rtl w:val="0"/>
        </w:rPr>
        <w:t xml:space="preserve"> indicó que hasta ahora se han obtenido 89 órdenes de aprehensión, tanto por la desaparición de los estudiantes como por la manipulación de la investigación; de estas, se han ejecutado 49 y quedan pendientes 40, entre ellas la de </w:t>
      </w:r>
      <w:r w:rsidDel="00000000" w:rsidR="00000000" w:rsidRPr="00000000">
        <w:rPr>
          <w:rFonts w:ascii="Rockwell" w:cs="Rockwell" w:eastAsia="Rockwell" w:hAnsi="Rockwell"/>
          <w:b w:val="1"/>
          <w:color w:val="242424"/>
          <w:sz w:val="18"/>
          <w:szCs w:val="18"/>
          <w:rtl w:val="0"/>
        </w:rPr>
        <w:t xml:space="preserve">Tomás Zerón de Lucio,</w:t>
      </w:r>
      <w:r w:rsidDel="00000000" w:rsidR="00000000" w:rsidRPr="00000000">
        <w:rPr>
          <w:rFonts w:ascii="Rockwell" w:cs="Rockwell" w:eastAsia="Rockwell" w:hAnsi="Rockwell"/>
          <w:color w:val="242424"/>
          <w:sz w:val="18"/>
          <w:szCs w:val="18"/>
          <w:rtl w:val="0"/>
        </w:rPr>
        <w:t xml:space="preserve"> </w:t>
      </w:r>
      <w:r w:rsidDel="00000000" w:rsidR="00000000" w:rsidRPr="00000000">
        <w:rPr>
          <w:rFonts w:ascii="Rockwell" w:cs="Rockwell" w:eastAsia="Rockwell" w:hAnsi="Rockwell"/>
          <w:b w:val="1"/>
          <w:color w:val="242424"/>
          <w:sz w:val="18"/>
          <w:szCs w:val="18"/>
          <w:rtl w:val="0"/>
        </w:rPr>
        <w:t xml:space="preserve">extitular de la Agencia de Investigación Criminal.</w:t>
      </w:r>
      <w:r w:rsidDel="00000000" w:rsidR="00000000" w:rsidRPr="00000000">
        <w:rPr>
          <w:rtl w:val="0"/>
        </w:rPr>
      </w:r>
    </w:p>
    <w:p w:rsidR="00000000" w:rsidDel="00000000" w:rsidP="00000000" w:rsidRDefault="00000000" w:rsidRPr="00000000" w14:paraId="00000023">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En lo que respecta a las personas presentadas por la Procuraduría General de la República en conferencias de prensa como autores materiales de la desaparición y ejecución de los normalistas, todos quedaron exonerados por haber indicios que fueron torturados durante los interrogatorios. </w:t>
      </w:r>
    </w:p>
    <w:p w:rsidR="00000000" w:rsidDel="00000000" w:rsidP="00000000" w:rsidRDefault="00000000" w:rsidRPr="00000000" w14:paraId="00000024">
      <w:pPr>
        <w:spacing w:after="0" w:before="120" w:line="240" w:lineRule="auto"/>
        <w:ind w:firstLine="170"/>
        <w:jc w:val="both"/>
        <w:rPr>
          <w:rFonts w:ascii="Rockwell" w:cs="Rockwell" w:eastAsia="Rockwell" w:hAnsi="Rockwell"/>
          <w:b w:val="1"/>
          <w:color w:val="242424"/>
          <w:sz w:val="18"/>
          <w:szCs w:val="18"/>
        </w:rPr>
      </w:pPr>
      <w:r w:rsidDel="00000000" w:rsidR="00000000" w:rsidRPr="00000000">
        <w:rPr>
          <w:rFonts w:ascii="Rockwell" w:cs="Rockwell" w:eastAsia="Rockwell" w:hAnsi="Rockwell"/>
          <w:b w:val="1"/>
          <w:color w:val="242424"/>
          <w:sz w:val="18"/>
          <w:szCs w:val="18"/>
          <w:rtl w:val="0"/>
        </w:rPr>
        <w:t xml:space="preserve">Además, 21 personas relacionadas con los hechos han sido asesinadas.</w:t>
      </w:r>
    </w:p>
    <w:p w:rsidR="00000000" w:rsidDel="00000000" w:rsidP="00000000" w:rsidRDefault="00000000" w:rsidRPr="00000000" w14:paraId="00000025">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color w:val="242424"/>
          <w:sz w:val="18"/>
          <w:szCs w:val="18"/>
          <w:rtl w:val="0"/>
        </w:rPr>
        <w:t xml:space="preserve">De las órdenes que faltan, 30 corresponden a personas presuntamente vinculadas con la desaparición y 10 con funcionarios que cometieron irregularidades para sostener la "verdad histórica".</w:t>
      </w:r>
    </w:p>
    <w:p w:rsidR="00000000" w:rsidDel="00000000" w:rsidP="00000000" w:rsidRDefault="00000000" w:rsidRPr="00000000" w14:paraId="00000026">
      <w:pPr>
        <w:spacing w:after="0" w:before="120" w:line="240" w:lineRule="auto"/>
        <w:ind w:firstLine="170"/>
        <w:jc w:val="both"/>
        <w:rPr>
          <w:rFonts w:ascii="Rockwell" w:cs="Rockwell" w:eastAsia="Rockwell" w:hAnsi="Rockwell"/>
          <w:color w:val="242424"/>
          <w:sz w:val="18"/>
          <w:szCs w:val="18"/>
        </w:rPr>
      </w:pPr>
      <w:r w:rsidDel="00000000" w:rsidR="00000000" w:rsidRPr="00000000">
        <w:rPr>
          <w:rFonts w:ascii="Rockwell" w:cs="Rockwell" w:eastAsia="Rockwell" w:hAnsi="Rockwell"/>
          <w:b w:val="1"/>
          <w:color w:val="242424"/>
          <w:sz w:val="18"/>
          <w:szCs w:val="18"/>
          <w:rtl w:val="0"/>
        </w:rPr>
        <w:t xml:space="preserve">Entre los detenidos se encuentra el capitán de infantería José Martínez Crespo, aprehendido en noviembre de 2020.</w:t>
      </w:r>
      <w:r w:rsidDel="00000000" w:rsidR="00000000" w:rsidRPr="00000000">
        <w:rPr>
          <w:rFonts w:ascii="Rockwell" w:cs="Rockwell" w:eastAsia="Rockwell" w:hAnsi="Rockwell"/>
          <w:color w:val="242424"/>
          <w:sz w:val="18"/>
          <w:szCs w:val="18"/>
          <w:rtl w:val="0"/>
        </w:rPr>
        <w:t xml:space="preserve"> Además, comparecieron 40 elementos de las Fuerzas Armadas ante la Fiscalía.</w:t>
      </w:r>
    </w:p>
    <w:p w:rsidR="00000000" w:rsidDel="00000000" w:rsidP="00000000" w:rsidRDefault="00000000" w:rsidRPr="00000000" w14:paraId="00000027">
      <w:pPr>
        <w:shd w:fill="ffffff" w:val="clear"/>
        <w:spacing w:after="0" w:before="120" w:line="240" w:lineRule="auto"/>
        <w:ind w:firstLine="170"/>
        <w:jc w:val="right"/>
        <w:rPr>
          <w:rFonts w:ascii="Arial" w:cs="Arial" w:eastAsia="Arial" w:hAnsi="Arial"/>
          <w:b w:val="1"/>
          <w:i w:val="1"/>
          <w:color w:val="0070c0"/>
          <w:sz w:val="18"/>
          <w:szCs w:val="18"/>
        </w:rPr>
      </w:pPr>
      <w:r w:rsidDel="00000000" w:rsidR="00000000" w:rsidRPr="00000000">
        <w:rPr>
          <w:rFonts w:ascii="Rockwell" w:cs="Rockwell" w:eastAsia="Rockwell" w:hAnsi="Rockwell"/>
          <w:color w:val="262626"/>
          <w:sz w:val="18"/>
          <w:szCs w:val="18"/>
          <w:rtl w:val="0"/>
        </w:rPr>
        <w:t xml:space="preserve"> </w:t>
      </w:r>
      <w:r w:rsidDel="00000000" w:rsidR="00000000" w:rsidRPr="00000000">
        <w:rPr>
          <w:rFonts w:ascii="Arial" w:cs="Arial" w:eastAsia="Arial" w:hAnsi="Arial"/>
          <w:b w:val="1"/>
          <w:i w:val="1"/>
          <w:color w:val="0070c0"/>
          <w:sz w:val="18"/>
          <w:szCs w:val="18"/>
          <w:rtl w:val="0"/>
        </w:rPr>
        <w:t xml:space="preserve">Fuente: Expansión política, Ciudad de México. </w:t>
      </w:r>
    </w:p>
    <w:p w:rsidR="00000000" w:rsidDel="00000000" w:rsidP="00000000" w:rsidRDefault="00000000" w:rsidRPr="00000000" w14:paraId="00000028">
      <w:pPr>
        <w:shd w:fill="ffffff" w:val="clear"/>
        <w:spacing w:after="0" w:before="120" w:line="240" w:lineRule="auto"/>
        <w:ind w:firstLine="170"/>
        <w:rPr>
          <w:rFonts w:ascii="Arial" w:cs="Arial" w:eastAsia="Arial" w:hAnsi="Arial"/>
          <w:i w:val="1"/>
          <w:color w:val="262626"/>
          <w:sz w:val="18"/>
          <w:szCs w:val="18"/>
        </w:rPr>
      </w:pPr>
      <w:r w:rsidDel="00000000" w:rsidR="00000000" w:rsidRPr="00000000">
        <w:rPr>
          <w:rtl w:val="0"/>
        </w:rPr>
      </w:r>
    </w:p>
    <w:p w:rsidR="00000000" w:rsidDel="00000000" w:rsidP="00000000" w:rsidRDefault="00000000" w:rsidRPr="00000000" w14:paraId="00000029">
      <w:pPr>
        <w:shd w:fill="ffffff" w:val="clear"/>
        <w:spacing w:after="0" w:line="240" w:lineRule="auto"/>
        <w:ind w:left="567" w:firstLine="170"/>
        <w:rPr>
          <w:rFonts w:ascii="Arial" w:cs="Arial" w:eastAsia="Arial" w:hAnsi="Arial"/>
          <w:b w:val="1"/>
          <w:i w:val="1"/>
          <w:color w:val="2e75b5"/>
        </w:rPr>
      </w:pPr>
      <w:r w:rsidDel="00000000" w:rsidR="00000000" w:rsidRPr="00000000">
        <w:rPr>
          <w:rtl w:val="0"/>
        </w:rPr>
      </w:r>
    </w:p>
    <w:p w:rsidR="00000000" w:rsidDel="00000000" w:rsidP="00000000" w:rsidRDefault="00000000" w:rsidRPr="00000000" w14:paraId="0000002A">
      <w:pPr>
        <w:shd w:fill="ffffff" w:val="clear"/>
        <w:spacing w:after="0" w:line="240" w:lineRule="auto"/>
        <w:ind w:left="567" w:firstLine="170"/>
        <w:rPr>
          <w:rFonts w:ascii="Arial" w:cs="Arial" w:eastAsia="Arial" w:hAnsi="Arial"/>
          <w:b w:val="1"/>
          <w:i w:val="1"/>
          <w:color w:val="2e75b5"/>
        </w:rPr>
        <w:sectPr>
          <w:headerReference r:id="rId13" w:type="default"/>
          <w:pgSz w:h="16838" w:w="11906"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2B">
      <w:pPr>
        <w:shd w:fill="ffffff" w:val="clear"/>
        <w:spacing w:after="0" w:line="240" w:lineRule="auto"/>
        <w:jc w:val="both"/>
        <w:rPr>
          <w:rFonts w:ascii="Arial" w:cs="Arial" w:eastAsia="Arial" w:hAnsi="Arial"/>
          <w:b w:val="1"/>
          <w:i w:val="1"/>
          <w:color w:val="2e75b5"/>
        </w:rPr>
        <w:sectPr>
          <w:headerReference r:id="rId14" w:type="default"/>
          <w:type w:val="continuous"/>
          <w:pgSz w:h="16838" w:w="11906" w:orient="portrait"/>
          <w:pgMar w:bottom="1417" w:top="1417" w:left="1701" w:right="1701" w:header="708" w:footer="708"/>
        </w:sectPr>
      </w:pPr>
      <w:r w:rsidDel="00000000" w:rsidR="00000000" w:rsidRPr="00000000">
        <w:rPr>
          <w:rFonts w:ascii="Arial" w:cs="Arial" w:eastAsia="Arial" w:hAnsi="Arial"/>
          <w:b w:val="1"/>
          <w:i w:val="1"/>
          <w:color w:val="2e75b5"/>
          <w:sz w:val="56"/>
          <w:szCs w:val="56"/>
          <w:rtl w:val="0"/>
        </w:rPr>
        <w:t xml:space="preserve">4 </w:t>
      </w:r>
      <w:r w:rsidDel="00000000" w:rsidR="00000000" w:rsidRPr="00000000">
        <w:rPr>
          <w:rFonts w:ascii="Arial" w:cs="Arial" w:eastAsia="Arial" w:hAnsi="Arial"/>
          <w:b w:val="1"/>
          <w:i w:val="1"/>
          <w:color w:val="2e75b5"/>
          <w:sz w:val="18"/>
          <w:szCs w:val="18"/>
          <w:rtl w:val="0"/>
        </w:rPr>
        <w:t xml:space="preserve">Nó</w:t>
      </w:r>
      <w:r w:rsidDel="00000000" w:rsidR="00000000" w:rsidRPr="00000000">
        <w:rPr>
          <w:rFonts w:ascii="Arial" w:cs="Arial" w:eastAsia="Arial" w:hAnsi="Arial"/>
          <w:b w:val="1"/>
          <w:i w:val="1"/>
          <w:color w:val="2e75b5"/>
          <w:rtl w:val="0"/>
        </w:rPr>
        <w:t xml:space="preserve">mina y edad que tenían al momento de su desaparición los </w:t>
      </w:r>
      <w:r w:rsidDel="00000000" w:rsidR="00000000" w:rsidRPr="00000000">
        <w:rPr>
          <w:rFonts w:ascii="Arial" w:cs="Arial" w:eastAsia="Arial" w:hAnsi="Arial"/>
          <w:b w:val="1"/>
          <w:i w:val="1"/>
          <w:color w:val="2e75b5"/>
          <w:sz w:val="28"/>
          <w:szCs w:val="28"/>
          <w:rtl w:val="0"/>
        </w:rPr>
        <w:t xml:space="preserve">43 </w:t>
      </w:r>
      <w:r w:rsidDel="00000000" w:rsidR="00000000" w:rsidRPr="00000000">
        <w:rPr>
          <w:rFonts w:ascii="Arial" w:cs="Arial" w:eastAsia="Arial" w:hAnsi="Arial"/>
          <w:b w:val="1"/>
          <w:i w:val="1"/>
          <w:color w:val="2e75b5"/>
          <w:rtl w:val="0"/>
        </w:rPr>
        <w:t xml:space="preserve">estudiantes de la Escuela Normal</w:t>
      </w:r>
      <w:r w:rsidDel="00000000" w:rsidR="00000000" w:rsidRPr="00000000">
        <w:rPr>
          <w:rFonts w:ascii="Rockwell" w:cs="Rockwell" w:eastAsia="Rockwell" w:hAnsi="Rockwell"/>
          <w:b w:val="1"/>
          <w:color w:val="2e75b5"/>
          <w:rtl w:val="0"/>
        </w:rPr>
        <w:t xml:space="preserve"> ‘</w:t>
      </w:r>
      <w:r w:rsidDel="00000000" w:rsidR="00000000" w:rsidRPr="00000000">
        <w:rPr>
          <w:rFonts w:ascii="Rockwell" w:cs="Rockwell" w:eastAsia="Rockwell" w:hAnsi="Rockwell"/>
          <w:b w:val="1"/>
          <w:i w:val="1"/>
          <w:color w:val="2e75b5"/>
          <w:rtl w:val="0"/>
        </w:rPr>
        <w:t xml:space="preserve">Raúl Isidro Burgos’ de Ayotzinapa, Estado de Guerrero</w:t>
      </w:r>
      <w:r w:rsidDel="00000000" w:rsidR="00000000" w:rsidRPr="00000000">
        <w:rPr>
          <w:rFonts w:ascii="Arial" w:cs="Arial" w:eastAsia="Arial" w:hAnsi="Arial"/>
          <w:b w:val="1"/>
          <w:i w:val="1"/>
          <w:color w:val="2e75b5"/>
          <w:rtl w:val="0"/>
        </w:rPr>
        <w:t xml:space="preserve">:</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Abel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García Hernández, 19 años </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Abelardo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Vázquez Penitén, 19 años</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Adán Abrajan</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 De la Cruz, 24 años</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bookmarkStart w:colFirst="0" w:colLast="0" w:name="_gjdgxs" w:id="0"/>
      <w:bookmarkEnd w:id="0"/>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Alexander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Mora Venancio, 19 años </w:t>
      </w:r>
      <w:r w:rsidDel="00000000" w:rsidR="00000000" w:rsidRPr="00000000">
        <w:rPr>
          <w:rFonts w:ascii="Rockwell" w:cs="Rockwell" w:eastAsia="Rockwell" w:hAnsi="Rockwell"/>
          <w:b w:val="1"/>
          <w:i w:val="0"/>
          <w:smallCaps w:val="0"/>
          <w:strike w:val="0"/>
          <w:color w:val="0070c0"/>
          <w:sz w:val="20"/>
          <w:szCs w:val="20"/>
          <w:u w:val="none"/>
          <w:shd w:fill="auto" w:val="clear"/>
          <w:vertAlign w:val="baseline"/>
          <w:rtl w:val="0"/>
        </w:rPr>
        <w:t xml:space="preserve">(identificado)</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Antonio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Santana Maestro, 20 años</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Benjamín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Ascencio Bautista, 19 años</w:t>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Bernardo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Flores Alcaraz, 21 años</w:t>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Carlos Iván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Ramírez Villarreal, 20 años</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Carlos Lorenzo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Hernández Muñoz 19  </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César Manu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González Hernández, 22</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Christian Alfonso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Rodríguez Telumbre 19 años</w:t>
      </w: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 </w:t>
      </w:r>
      <w:r w:rsidDel="00000000" w:rsidR="00000000" w:rsidRPr="00000000">
        <w:rPr>
          <w:rFonts w:ascii="Rockwell" w:cs="Rockwell" w:eastAsia="Rockwell" w:hAnsi="Rockwell"/>
          <w:b w:val="1"/>
          <w:i w:val="0"/>
          <w:smallCaps w:val="0"/>
          <w:strike w:val="0"/>
          <w:color w:val="0070c0"/>
          <w:sz w:val="20"/>
          <w:szCs w:val="20"/>
          <w:u w:val="none"/>
          <w:shd w:fill="auto" w:val="clear"/>
          <w:vertAlign w:val="baseline"/>
          <w:rtl w:val="0"/>
        </w:rPr>
        <w:t xml:space="preserve">(identificado)</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Christian Tomás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Colón Gárnica, 18 años</w:t>
      </w: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 </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Cutberto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Ortiz Ramos, 22 años</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Doriam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González Parral, 19 años</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Emiliano Gaspar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de la Cruz, 22 años</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Everardo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Rodríguez Bello, 19 años</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Felipe Arnulfo</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 Rosas, 20 años</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Giovanni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Galindez Guerrero, 20 años</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Israel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Caballero Sánchez, 21 años</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Israel Jacinto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Lugardo, 19 años</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Jesús Jovany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Rodríguez Tlatempa, 21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Jhosivanni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Guerrero De la Cruz, 20 años</w:t>
      </w: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 </w:t>
      </w:r>
      <w:r w:rsidDel="00000000" w:rsidR="00000000" w:rsidRPr="00000000">
        <w:rPr>
          <w:rFonts w:ascii="Rockwell" w:cs="Rockwell" w:eastAsia="Rockwell" w:hAnsi="Rockwell"/>
          <w:b w:val="1"/>
          <w:i w:val="0"/>
          <w:smallCaps w:val="0"/>
          <w:strike w:val="0"/>
          <w:color w:val="0070c0"/>
          <w:sz w:val="20"/>
          <w:szCs w:val="20"/>
          <w:u w:val="none"/>
          <w:shd w:fill="auto" w:val="clear"/>
          <w:vertAlign w:val="baseline"/>
          <w:rtl w:val="0"/>
        </w:rPr>
        <w:t xml:space="preserve">(identificado)</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Jonás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Trujillo González, 20 años</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Jorge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Álvarez Nava, 19 años</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Jorge Antonio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Tizapa Leguideño, 20 años</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Jorge Aníbal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Cruz Mendoza, 19 años</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Jorge Luis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González Parral, 21 años</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José Ángel</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 Campos Cantor, 33 años</w:t>
      </w:r>
    </w:p>
    <w:p w:rsidR="00000000" w:rsidDel="00000000" w:rsidP="00000000" w:rsidRDefault="00000000" w:rsidRPr="00000000" w14:paraId="000000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José Ángel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Navarrete González, 18 años</w:t>
      </w:r>
      <w:r w:rsidDel="00000000" w:rsidR="00000000" w:rsidRPr="00000000">
        <w:rPr>
          <w:rtl w:val="0"/>
        </w:rPr>
      </w:r>
    </w:p>
    <w:p w:rsidR="00000000" w:rsidDel="00000000" w:rsidP="00000000" w:rsidRDefault="00000000" w:rsidRPr="00000000" w14:paraId="000000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José Eduardo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Bartolo Tlatempa, 17 años</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José Luis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Luna Torres, 20 años</w:t>
      </w:r>
      <w:r w:rsidDel="00000000" w:rsidR="00000000" w:rsidRPr="00000000">
        <w:rPr>
          <w:rtl w:val="0"/>
        </w:rPr>
      </w:r>
    </w:p>
    <w:p w:rsidR="00000000" w:rsidDel="00000000" w:rsidP="00000000" w:rsidRDefault="00000000" w:rsidRPr="00000000" w14:paraId="0000004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Julio César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López Patoltzin, 24 años</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Leonel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Castro Abarca, 19 años</w:t>
      </w:r>
    </w:p>
    <w:p w:rsidR="00000000" w:rsidDel="00000000" w:rsidP="00000000" w:rsidRDefault="00000000" w:rsidRPr="00000000" w14:paraId="0000004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Luis Ángel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Abarca Carrillo, 18 años</w:t>
      </w:r>
      <w:r w:rsidDel="00000000" w:rsidR="00000000" w:rsidRPr="00000000">
        <w:rPr>
          <w:rtl w:val="0"/>
        </w:rPr>
      </w:r>
    </w:p>
    <w:p w:rsidR="00000000" w:rsidDel="00000000" w:rsidP="00000000" w:rsidRDefault="00000000" w:rsidRPr="00000000" w14:paraId="000000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Luis Ángel Francisco</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 Arzola, 19 años</w:t>
      </w: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 </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Magdaleno Rubén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Lauro Villegas, 19 años</w:t>
      </w:r>
      <w:r w:rsidDel="00000000" w:rsidR="00000000" w:rsidRPr="00000000">
        <w:rPr>
          <w:rtl w:val="0"/>
        </w:rPr>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Marcial Pablo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Baranda, 20 años</w:t>
      </w:r>
      <w:r w:rsidDel="00000000" w:rsidR="00000000" w:rsidRPr="00000000">
        <w:rPr>
          <w:rtl w:val="0"/>
        </w:rPr>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Marco Antonio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Gómez Molina, 21 años</w:t>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Martín Getsemany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Sánchez García, 20</w:t>
      </w:r>
    </w:p>
    <w:p w:rsidR="00000000" w:rsidDel="00000000" w:rsidP="00000000" w:rsidRDefault="00000000" w:rsidRPr="00000000" w14:paraId="0000005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Mauricio Ortega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Valerio, 18 años</w:t>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Miguel Ángel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Hernández Martínez, 28</w:t>
      </w:r>
      <w:r w:rsidDel="00000000" w:rsidR="00000000" w:rsidRPr="00000000">
        <w:rPr>
          <w:rtl w:val="0"/>
        </w:rPr>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1"/>
          <w:i w:val="0"/>
          <w:smallCaps w:val="0"/>
          <w:strike w:val="0"/>
          <w:color w:val="242424"/>
          <w:sz w:val="20"/>
          <w:szCs w:val="20"/>
          <w:u w:val="none"/>
          <w:shd w:fill="auto" w:val="clear"/>
          <w:vertAlign w:val="baseline"/>
        </w:r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Miguel Ángel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Mendoza Zacarías, 23 años</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left"/>
        <w:rPr>
          <w:rFonts w:ascii="Rockwell" w:cs="Rockwell" w:eastAsia="Rockwell" w:hAnsi="Rockwell"/>
          <w:b w:val="0"/>
          <w:i w:val="0"/>
          <w:smallCaps w:val="0"/>
          <w:strike w:val="0"/>
          <w:color w:val="242424"/>
          <w:sz w:val="20"/>
          <w:szCs w:val="20"/>
          <w:u w:val="none"/>
          <w:shd w:fill="auto" w:val="clear"/>
          <w:vertAlign w:val="baseline"/>
        </w:rPr>
        <w:sectPr>
          <w:headerReference r:id="rId15" w:type="default"/>
          <w:type w:val="continuous"/>
          <w:pgSz w:h="16838" w:w="11906" w:orient="portrait"/>
          <w:pgMar w:bottom="1417" w:top="1417" w:left="1701" w:right="1701" w:header="708" w:footer="708"/>
        </w:sectPr>
      </w:pP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Saúl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Bruno</w:t>
      </w:r>
      <w:r w:rsidDel="00000000" w:rsidR="00000000" w:rsidRPr="00000000">
        <w:rPr>
          <w:rFonts w:ascii="Rockwell" w:cs="Rockwell" w:eastAsia="Rockwell" w:hAnsi="Rockwell"/>
          <w:b w:val="1"/>
          <w:i w:val="0"/>
          <w:smallCaps w:val="0"/>
          <w:strike w:val="0"/>
          <w:color w:val="242424"/>
          <w:sz w:val="20"/>
          <w:szCs w:val="20"/>
          <w:u w:val="none"/>
          <w:shd w:fill="auto" w:val="clear"/>
          <w:vertAlign w:val="baseline"/>
          <w:rtl w:val="0"/>
        </w:rPr>
        <w:t xml:space="preserve"> </w:t>
      </w:r>
      <w:r w:rsidDel="00000000" w:rsidR="00000000" w:rsidRPr="00000000">
        <w:rPr>
          <w:rFonts w:ascii="Rockwell" w:cs="Rockwell" w:eastAsia="Rockwell" w:hAnsi="Rockwell"/>
          <w:b w:val="0"/>
          <w:i w:val="0"/>
          <w:smallCaps w:val="0"/>
          <w:strike w:val="0"/>
          <w:color w:val="242424"/>
          <w:sz w:val="20"/>
          <w:szCs w:val="20"/>
          <w:u w:val="none"/>
          <w:shd w:fill="auto" w:val="clear"/>
          <w:vertAlign w:val="baseline"/>
          <w:rtl w:val="0"/>
        </w:rPr>
        <w:t xml:space="preserve">García, 19 años</w:t>
      </w:r>
    </w:p>
    <w:p w:rsidR="00000000" w:rsidDel="00000000" w:rsidP="00000000" w:rsidRDefault="00000000" w:rsidRPr="00000000" w14:paraId="00000057">
      <w:pPr>
        <w:spacing w:after="0" w:before="240" w:line="240" w:lineRule="auto"/>
        <w:rPr>
          <w:b w:val="1"/>
          <w:i w:val="1"/>
          <w:color w:val="0070c0"/>
          <w:sz w:val="20"/>
          <w:szCs w:val="20"/>
        </w:rPr>
        <w:sectPr>
          <w:type w:val="continuous"/>
          <w:pgSz w:h="16838" w:w="11906" w:orient="portrait"/>
          <w:pgMar w:bottom="1417" w:top="1417" w:left="1701" w:right="1701" w:header="708" w:footer="708"/>
          <w:cols w:equalWidth="0" w:num="2">
            <w:col w:space="284" w:w="4109.999999999999"/>
            <w:col w:space="0" w:w="4109.999999999999"/>
          </w:cols>
        </w:sectPr>
      </w:pPr>
      <w:r w:rsidDel="00000000" w:rsidR="00000000" w:rsidRPr="00000000">
        <w:rPr>
          <w:rtl w:val="0"/>
        </w:rPr>
      </w:r>
    </w:p>
    <w:p w:rsidR="00000000" w:rsidDel="00000000" w:rsidP="00000000" w:rsidRDefault="00000000" w:rsidRPr="00000000" w14:paraId="00000058">
      <w:pPr>
        <w:spacing w:after="0" w:before="240" w:line="240" w:lineRule="auto"/>
        <w:rPr>
          <w:rFonts w:ascii="Rockwell" w:cs="Rockwell" w:eastAsia="Rockwell" w:hAnsi="Rockwell"/>
          <w:b w:val="1"/>
          <w:i w:val="1"/>
          <w:color w:val="0070c0"/>
          <w:sz w:val="30"/>
          <w:szCs w:val="30"/>
        </w:rPr>
      </w:pPr>
      <w:r w:rsidDel="00000000" w:rsidR="00000000" w:rsidRPr="00000000">
        <w:rPr>
          <w:b w:val="1"/>
          <w:i w:val="1"/>
          <w:color w:val="0070c0"/>
          <w:sz w:val="56"/>
          <w:szCs w:val="56"/>
          <w:rtl w:val="0"/>
        </w:rPr>
        <w:t xml:space="preserve">5 </w:t>
      </w:r>
      <w:r w:rsidDel="00000000" w:rsidR="00000000" w:rsidRPr="00000000">
        <w:rPr>
          <w:rFonts w:ascii="Rockwell" w:cs="Rockwell" w:eastAsia="Rockwell" w:hAnsi="Rockwell"/>
          <w:b w:val="1"/>
          <w:i w:val="1"/>
          <w:color w:val="0070c0"/>
          <w:sz w:val="30"/>
          <w:szCs w:val="30"/>
          <w:rtl w:val="0"/>
        </w:rPr>
        <w:t xml:space="preserve">PERÚ: Tiempos del Presidente Pedro Castillo Terrones</w:t>
      </w:r>
    </w:p>
    <w:p w:rsidR="00000000" w:rsidDel="00000000" w:rsidP="00000000" w:rsidRDefault="00000000" w:rsidRPr="00000000" w14:paraId="00000059">
      <w:pPr>
        <w:spacing w:after="0" w:line="240" w:lineRule="auto"/>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   Desde el 28 de julio de este año 2021 es el Presidente de la República del Perú el educador </w:t>
      </w:r>
      <w:r w:rsidDel="00000000" w:rsidR="00000000" w:rsidRPr="00000000">
        <w:rPr>
          <w:rFonts w:ascii="Rockwell" w:cs="Rockwell" w:eastAsia="Rockwell" w:hAnsi="Rockwell"/>
          <w:b w:val="1"/>
          <w:sz w:val="18"/>
          <w:szCs w:val="18"/>
          <w:rtl w:val="0"/>
        </w:rPr>
        <w:t xml:space="preserve">Pedro Castillo Terrones</w:t>
      </w:r>
      <w:r w:rsidDel="00000000" w:rsidR="00000000" w:rsidRPr="00000000">
        <w:rPr>
          <w:rFonts w:ascii="Rockwell" w:cs="Rockwell" w:eastAsia="Rockwell" w:hAnsi="Rockwell"/>
          <w:sz w:val="18"/>
          <w:szCs w:val="18"/>
          <w:rtl w:val="0"/>
        </w:rPr>
        <w:t xml:space="preserve"> (Chota, región Cajamarca, 53 años de edad). </w:t>
      </w:r>
    </w:p>
    <w:p w:rsidR="00000000" w:rsidDel="00000000" w:rsidP="00000000" w:rsidRDefault="00000000" w:rsidRPr="00000000" w14:paraId="0000005A">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En su juventud llegó a ser dirigente nacional de las </w:t>
      </w:r>
      <w:hyperlink r:id="rId16">
        <w:r w:rsidDel="00000000" w:rsidR="00000000" w:rsidRPr="00000000">
          <w:rPr>
            <w:rFonts w:ascii="Rockwell" w:cs="Rockwell" w:eastAsia="Rockwell" w:hAnsi="Rockwell"/>
            <w:sz w:val="18"/>
            <w:szCs w:val="18"/>
            <w:rtl w:val="0"/>
          </w:rPr>
          <w:t xml:space="preserve">rondas campesinas</w:t>
        </w:r>
      </w:hyperlink>
      <w:r w:rsidDel="00000000" w:rsidR="00000000" w:rsidRPr="00000000">
        <w:rPr>
          <w:rFonts w:ascii="Rockwell" w:cs="Rockwell" w:eastAsia="Rockwell" w:hAnsi="Rockwell"/>
          <w:sz w:val="18"/>
          <w:szCs w:val="18"/>
          <w:rtl w:val="0"/>
        </w:rPr>
        <w:t xml:space="preserve"> que surgieron en Chota en 1976, como organizaciones comunales de autodefensa frente al </w:t>
      </w:r>
      <w:hyperlink r:id="rId17">
        <w:r w:rsidDel="00000000" w:rsidR="00000000" w:rsidRPr="00000000">
          <w:rPr>
            <w:rFonts w:ascii="Rockwell" w:cs="Rockwell" w:eastAsia="Rockwell" w:hAnsi="Rockwell"/>
            <w:sz w:val="18"/>
            <w:szCs w:val="18"/>
            <w:rtl w:val="0"/>
          </w:rPr>
          <w:t xml:space="preserve">abigeato</w:t>
        </w:r>
      </w:hyperlink>
      <w:r w:rsidDel="00000000" w:rsidR="00000000" w:rsidRPr="00000000">
        <w:rPr>
          <w:rFonts w:ascii="Rockwell" w:cs="Rockwell" w:eastAsia="Rockwell" w:hAnsi="Rockwell"/>
          <w:sz w:val="18"/>
          <w:szCs w:val="18"/>
          <w:rtl w:val="0"/>
        </w:rPr>
        <w:t xml:space="preserve"> y la delincuencia.</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05B">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Se hizo conocido por ser el principal baluarte en la </w:t>
      </w:r>
      <w:hyperlink r:id="rId18">
        <w:r w:rsidDel="00000000" w:rsidR="00000000" w:rsidRPr="00000000">
          <w:rPr>
            <w:rFonts w:ascii="Rockwell" w:cs="Rockwell" w:eastAsia="Rockwell" w:hAnsi="Rockwell"/>
            <w:sz w:val="18"/>
            <w:szCs w:val="18"/>
            <w:rtl w:val="0"/>
          </w:rPr>
          <w:t xml:space="preserve">huelga magisterial de 2017</w:t>
        </w:r>
      </w:hyperlink>
      <w:r w:rsidDel="00000000" w:rsidR="00000000" w:rsidRPr="00000000">
        <w:rPr>
          <w:rFonts w:ascii="Rockwell" w:cs="Rockwell" w:eastAsia="Rockwell" w:hAnsi="Rockwell"/>
          <w:sz w:val="18"/>
          <w:szCs w:val="18"/>
          <w:rtl w:val="0"/>
        </w:rPr>
        <w:t xml:space="preserve"> que buscaba el aumento de remuneraciones, el pago de la deuda social, la derogatoria de la ley de la carrera pública magisterial y el incremento del presupuesto en el sector Educación.</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05C">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Postuló a la </w:t>
      </w:r>
      <w:hyperlink r:id="rId19">
        <w:r w:rsidDel="00000000" w:rsidR="00000000" w:rsidRPr="00000000">
          <w:rPr>
            <w:rFonts w:ascii="Rockwell" w:cs="Rockwell" w:eastAsia="Rockwell" w:hAnsi="Rockwell"/>
            <w:sz w:val="18"/>
            <w:szCs w:val="18"/>
            <w:rtl w:val="0"/>
          </w:rPr>
          <w:t xml:space="preserve">presidencia de la República</w:t>
        </w:r>
      </w:hyperlink>
      <w:r w:rsidDel="00000000" w:rsidR="00000000" w:rsidRPr="00000000">
        <w:rPr>
          <w:rFonts w:ascii="Rockwell" w:cs="Rockwell" w:eastAsia="Rockwell" w:hAnsi="Rockwell"/>
          <w:sz w:val="18"/>
          <w:szCs w:val="18"/>
          <w:rtl w:val="0"/>
        </w:rPr>
        <w:t xml:space="preserve"> por el partido político </w:t>
      </w:r>
      <w:hyperlink r:id="rId20">
        <w:r w:rsidDel="00000000" w:rsidR="00000000" w:rsidRPr="00000000">
          <w:rPr>
            <w:rFonts w:ascii="Rockwell" w:cs="Rockwell" w:eastAsia="Rockwell" w:hAnsi="Rockwell"/>
            <w:sz w:val="18"/>
            <w:szCs w:val="18"/>
            <w:rtl w:val="0"/>
          </w:rPr>
          <w:t xml:space="preserve">Perú Libre</w:t>
        </w:r>
      </w:hyperlink>
      <w:r w:rsidDel="00000000" w:rsidR="00000000" w:rsidRPr="00000000">
        <w:rPr>
          <w:rFonts w:ascii="Rockwell" w:cs="Rockwell" w:eastAsia="Rockwell" w:hAnsi="Rockwell"/>
          <w:sz w:val="18"/>
          <w:szCs w:val="18"/>
          <w:rtl w:val="0"/>
        </w:rPr>
        <w:t xml:space="preserve">, liderado por el </w:t>
      </w:r>
      <w:r w:rsidDel="00000000" w:rsidR="00000000" w:rsidRPr="00000000">
        <w:rPr>
          <w:rFonts w:ascii="Rockwell" w:cs="Rockwell" w:eastAsia="Rockwell" w:hAnsi="Rockwell"/>
          <w:b w:val="1"/>
          <w:sz w:val="18"/>
          <w:szCs w:val="18"/>
          <w:rtl w:val="0"/>
        </w:rPr>
        <w:t xml:space="preserve">neurocirujano Vladimir Cerrón</w:t>
      </w:r>
      <w:r w:rsidDel="00000000" w:rsidR="00000000" w:rsidRPr="00000000">
        <w:rPr>
          <w:rFonts w:ascii="Rockwell" w:cs="Rockwell" w:eastAsia="Rockwell" w:hAnsi="Rockwell"/>
          <w:sz w:val="18"/>
          <w:szCs w:val="18"/>
          <w:rtl w:val="0"/>
        </w:rPr>
        <w:t xml:space="preserve"> formado en la Universidad de Ciencias Médicas de Camagüey, hermana República de Cuba, logrando el primer lugar en la primera vuelta con el 18.92% de votos y superando en el </w:t>
      </w:r>
      <w:hyperlink r:id="rId21">
        <w:r w:rsidDel="00000000" w:rsidR="00000000" w:rsidRPr="00000000">
          <w:rPr>
            <w:rFonts w:ascii="Rockwell" w:cs="Rockwell" w:eastAsia="Rockwell" w:hAnsi="Rockwell"/>
            <w:sz w:val="18"/>
            <w:szCs w:val="18"/>
            <w:rtl w:val="0"/>
          </w:rPr>
          <w:t xml:space="preserve">balotaje</w:t>
        </w:r>
      </w:hyperlink>
      <w:r w:rsidDel="00000000" w:rsidR="00000000" w:rsidRPr="00000000">
        <w:rPr>
          <w:rFonts w:ascii="Rockwell" w:cs="Rockwell" w:eastAsia="Rockwell" w:hAnsi="Rockwell"/>
          <w:sz w:val="18"/>
          <w:szCs w:val="18"/>
          <w:rtl w:val="0"/>
        </w:rPr>
        <w:t xml:space="preserve"> a </w:t>
      </w:r>
      <w:hyperlink r:id="rId22">
        <w:r w:rsidDel="00000000" w:rsidR="00000000" w:rsidRPr="00000000">
          <w:rPr>
            <w:rFonts w:ascii="Rockwell" w:cs="Rockwell" w:eastAsia="Rockwell" w:hAnsi="Rockwell"/>
            <w:sz w:val="18"/>
            <w:szCs w:val="18"/>
            <w:rtl w:val="0"/>
          </w:rPr>
          <w:t xml:space="preserve">Keiko Fujimori</w:t>
        </w:r>
      </w:hyperlink>
      <w:r w:rsidDel="00000000" w:rsidR="00000000" w:rsidRPr="00000000">
        <w:rPr>
          <w:rFonts w:ascii="Rockwell" w:cs="Rockwell" w:eastAsia="Rockwell" w:hAnsi="Rockwell"/>
          <w:sz w:val="18"/>
          <w:szCs w:val="18"/>
          <w:rtl w:val="0"/>
        </w:rPr>
        <w:t xml:space="preserve">, con el 50.13% de votos.</w:t>
      </w:r>
    </w:p>
    <w:p w:rsidR="00000000" w:rsidDel="00000000" w:rsidP="00000000" w:rsidRDefault="00000000" w:rsidRPr="00000000" w14:paraId="0000005D">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En agosto de 2017, el sombrío ministro del interior </w:t>
      </w:r>
      <w:hyperlink r:id="rId23">
        <w:r w:rsidDel="00000000" w:rsidR="00000000" w:rsidRPr="00000000">
          <w:rPr>
            <w:rFonts w:ascii="Rockwell" w:cs="Rockwell" w:eastAsia="Rockwell" w:hAnsi="Rockwell"/>
            <w:sz w:val="18"/>
            <w:szCs w:val="18"/>
            <w:rtl w:val="0"/>
          </w:rPr>
          <w:t xml:space="preserve">Carlos Basombrío</w:t>
        </w:r>
      </w:hyperlink>
      <w:r w:rsidDel="00000000" w:rsidR="00000000" w:rsidRPr="00000000">
        <w:rPr>
          <w:rFonts w:ascii="Rockwell" w:cs="Rockwell" w:eastAsia="Rockwell" w:hAnsi="Rockwell"/>
          <w:sz w:val="18"/>
          <w:szCs w:val="18"/>
          <w:rtl w:val="0"/>
        </w:rPr>
        <w:t xml:space="preserve"> </w:t>
      </w:r>
      <w:r w:rsidDel="00000000" w:rsidR="00000000" w:rsidRPr="00000000">
        <w:rPr>
          <w:rFonts w:ascii="Rockwell" w:cs="Rockwell" w:eastAsia="Rockwell" w:hAnsi="Rockwell"/>
          <w:b w:val="1"/>
          <w:sz w:val="18"/>
          <w:szCs w:val="18"/>
          <w:rtl w:val="0"/>
        </w:rPr>
        <w:t xml:space="preserve">bisnieto del corrupto Rufino Echenique y del traidor a la patria Miguel Iglesias</w:t>
      </w:r>
      <w:r w:rsidDel="00000000" w:rsidR="00000000" w:rsidRPr="00000000">
        <w:rPr>
          <w:rFonts w:ascii="Rockwell" w:cs="Rockwell" w:eastAsia="Rockwell" w:hAnsi="Rockwell"/>
          <w:sz w:val="18"/>
          <w:szCs w:val="18"/>
          <w:rtl w:val="0"/>
        </w:rPr>
        <w:t xml:space="preserve"> quien lanzó al ejército peruano contra el taita Andrés Avelino Cáceres durante la invasión chilena para ceder Tarapacá y acordar el cautiverio de Tacna y Arica, presentó ante el </w:t>
      </w:r>
      <w:hyperlink r:id="rId24">
        <w:r w:rsidDel="00000000" w:rsidR="00000000" w:rsidRPr="00000000">
          <w:rPr>
            <w:rFonts w:ascii="Rockwell" w:cs="Rockwell" w:eastAsia="Rockwell" w:hAnsi="Rockwell"/>
            <w:sz w:val="18"/>
            <w:szCs w:val="18"/>
            <w:rtl w:val="0"/>
          </w:rPr>
          <w:t xml:space="preserve">Congreso peruano</w:t>
        </w:r>
      </w:hyperlink>
      <w:r w:rsidDel="00000000" w:rsidR="00000000" w:rsidRPr="00000000">
        <w:rPr>
          <w:rFonts w:ascii="Rockwell" w:cs="Rockwell" w:eastAsia="Rockwell" w:hAnsi="Rockwell"/>
          <w:sz w:val="18"/>
          <w:szCs w:val="18"/>
          <w:rtl w:val="0"/>
        </w:rPr>
        <w:t xml:space="preserve"> un informe titulado «La infiltración del Movadef en algunas dirigencias del magisterio».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Rockwell" w:cs="Rockwell" w:eastAsia="Rockwell" w:hAnsi="Rockwell"/>
          <w:sz w:val="18"/>
          <w:szCs w:val="18"/>
          <w:rtl w:val="0"/>
        </w:rPr>
        <w:t xml:space="preserve"> Por cierto, el informe no tenía la redacción de un ministro de Estado, sino la de cualquier soplón como su antiguo jefe Fernando Rospigliosi Capurro, cuando en sus épocas de estudiante en la Universidad Católica logró infiltrarse en Izquierda Unida.</w:t>
      </w:r>
    </w:p>
    <w:p w:rsidR="00000000" w:rsidDel="00000000" w:rsidP="00000000" w:rsidRDefault="00000000" w:rsidRPr="00000000" w14:paraId="0000005E">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Castillo se lanzó como candidato presidencial a mediados de 2020,</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Rockwell" w:cs="Rockwell" w:eastAsia="Rockwell" w:hAnsi="Rockwell"/>
          <w:sz w:val="18"/>
          <w:szCs w:val="18"/>
          <w:rtl w:val="0"/>
        </w:rPr>
        <w:t xml:space="preserve"> y prometió que de ser elegido presidente del Perú cambiaría la </w:t>
      </w:r>
      <w:hyperlink r:id="rId25">
        <w:r w:rsidDel="00000000" w:rsidR="00000000" w:rsidRPr="00000000">
          <w:rPr>
            <w:rFonts w:ascii="Rockwell" w:cs="Rockwell" w:eastAsia="Rockwell" w:hAnsi="Rockwell"/>
            <w:sz w:val="18"/>
            <w:szCs w:val="18"/>
            <w:rtl w:val="0"/>
          </w:rPr>
          <w:t xml:space="preserve">Constitución fujimorista de 1993</w:t>
        </w:r>
      </w:hyperlink>
      <w:r w:rsidDel="00000000" w:rsidR="00000000" w:rsidRPr="00000000">
        <w:rPr>
          <w:rFonts w:ascii="Rockwell" w:cs="Rockwell" w:eastAsia="Rockwell" w:hAnsi="Rockwell"/>
          <w:sz w:val="18"/>
          <w:szCs w:val="18"/>
          <w:rtl w:val="0"/>
        </w:rPr>
        <w:t xml:space="preserve"> mediante la convocatoria de una </w:t>
      </w:r>
      <w:hyperlink r:id="rId26">
        <w:r w:rsidDel="00000000" w:rsidR="00000000" w:rsidRPr="00000000">
          <w:rPr>
            <w:rFonts w:ascii="Rockwell" w:cs="Rockwell" w:eastAsia="Rockwell" w:hAnsi="Rockwell"/>
            <w:sz w:val="18"/>
            <w:szCs w:val="18"/>
            <w:rtl w:val="0"/>
          </w:rPr>
          <w:t xml:space="preserve">asamblea constituyente</w:t>
        </w:r>
      </w:hyperlink>
      <w:r w:rsidDel="00000000" w:rsidR="00000000" w:rsidRPr="00000000">
        <w:rPr>
          <w:rFonts w:ascii="Rockwell" w:cs="Rockwell" w:eastAsia="Rockwell" w:hAnsi="Rockwell"/>
          <w:sz w:val="18"/>
          <w:szCs w:val="18"/>
          <w:rtl w:val="0"/>
        </w:rPr>
        <w:t xml:space="preserve">, para que el Estado peruano tenga más participación en la economía peruana, e impulsaría una revolución educativa para mejorar la calidad de la enseñanza.</w:t>
      </w:r>
    </w:p>
    <w:p w:rsidR="00000000" w:rsidDel="00000000" w:rsidP="00000000" w:rsidRDefault="00000000" w:rsidRPr="00000000" w14:paraId="0000005F">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Al concluir su primera campaña antes de las elecciones generales, realizó un cierre de campaña en el </w:t>
      </w:r>
      <w:hyperlink r:id="rId27">
        <w:r w:rsidDel="00000000" w:rsidR="00000000" w:rsidRPr="00000000">
          <w:rPr>
            <w:rFonts w:ascii="Rockwell" w:cs="Rockwell" w:eastAsia="Rockwell" w:hAnsi="Rockwell"/>
            <w:sz w:val="18"/>
            <w:szCs w:val="18"/>
            <w:rtl w:val="0"/>
          </w:rPr>
          <w:t xml:space="preserve">Centro de Lima</w:t>
        </w:r>
      </w:hyperlink>
      <w:r w:rsidDel="00000000" w:rsidR="00000000" w:rsidRPr="00000000">
        <w:rPr>
          <w:rFonts w:ascii="Rockwell" w:cs="Rockwell" w:eastAsia="Rockwell" w:hAnsi="Rockwell"/>
          <w:sz w:val="18"/>
          <w:szCs w:val="18"/>
          <w:rtl w:val="0"/>
        </w:rPr>
        <w:t xml:space="preserve">, comenzando con un mitin en la </w:t>
      </w:r>
      <w:hyperlink r:id="rId28">
        <w:r w:rsidDel="00000000" w:rsidR="00000000" w:rsidRPr="00000000">
          <w:rPr>
            <w:rFonts w:ascii="Rockwell" w:cs="Rockwell" w:eastAsia="Rockwell" w:hAnsi="Rockwell"/>
            <w:sz w:val="18"/>
            <w:szCs w:val="18"/>
            <w:rtl w:val="0"/>
          </w:rPr>
          <w:t xml:space="preserve">Plaza San Martín</w:t>
        </w:r>
      </w:hyperlink>
      <w:r w:rsidDel="00000000" w:rsidR="00000000" w:rsidRPr="00000000">
        <w:rPr>
          <w:rFonts w:ascii="Rockwell" w:cs="Rockwell" w:eastAsia="Rockwell" w:hAnsi="Rockwell"/>
          <w:sz w:val="18"/>
          <w:szCs w:val="18"/>
          <w:rtl w:val="0"/>
        </w:rPr>
        <w:t xml:space="preserve"> y finalizando con una marcha a caballo hacia la </w:t>
      </w:r>
      <w:hyperlink r:id="rId29">
        <w:r w:rsidDel="00000000" w:rsidR="00000000" w:rsidRPr="00000000">
          <w:rPr>
            <w:rFonts w:ascii="Rockwell" w:cs="Rockwell" w:eastAsia="Rockwell" w:hAnsi="Rockwell"/>
            <w:sz w:val="18"/>
            <w:szCs w:val="18"/>
            <w:rtl w:val="0"/>
          </w:rPr>
          <w:t xml:space="preserve">plaza Dos de Mayo</w:t>
        </w:r>
      </w:hyperlink>
      <w:r w:rsidDel="00000000" w:rsidR="00000000" w:rsidRPr="00000000">
        <w:rPr>
          <w:rFonts w:ascii="Rockwell" w:cs="Rockwell" w:eastAsia="Rockwell" w:hAnsi="Rockwell"/>
          <w:sz w:val="18"/>
          <w:szCs w:val="18"/>
          <w:rtl w:val="0"/>
        </w:rPr>
        <w:t xml:space="preserve"> donde se reunieron cientos de simpatizantes.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Rockwell" w:cs="Rockwell" w:eastAsia="Rockwell" w:hAnsi="Rockwell"/>
          <w:sz w:val="18"/>
          <w:szCs w:val="18"/>
          <w:rtl w:val="0"/>
        </w:rPr>
        <w:t xml:space="preserve"> </w:t>
      </w:r>
    </w:p>
    <w:p w:rsidR="00000000" w:rsidDel="00000000" w:rsidP="00000000" w:rsidRDefault="00000000" w:rsidRPr="00000000" w14:paraId="00000060">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Castillo obtuvo el 19% de los votos en la primera vuelta, colocándolo en el primer lugar de los 18 candidatos a la presidencia.</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Rockwell" w:cs="Rockwell" w:eastAsia="Rockwell" w:hAnsi="Rockwell"/>
          <w:sz w:val="18"/>
          <w:szCs w:val="18"/>
          <w:rtl w:val="0"/>
        </w:rPr>
        <w:t xml:space="preserve"> Tras el sorprendente éxito de Castillo, la bolsa de valores en Perú cayó un 3,2% y la moneda peruana, el </w:t>
      </w:r>
      <w:hyperlink r:id="rId30">
        <w:r w:rsidDel="00000000" w:rsidR="00000000" w:rsidRPr="00000000">
          <w:rPr>
            <w:rFonts w:ascii="Rockwell" w:cs="Rockwell" w:eastAsia="Rockwell" w:hAnsi="Rockwell"/>
            <w:sz w:val="18"/>
            <w:szCs w:val="18"/>
            <w:rtl w:val="0"/>
          </w:rPr>
          <w:t xml:space="preserve">sol peruano</w:t>
        </w:r>
      </w:hyperlink>
      <w:r w:rsidDel="00000000" w:rsidR="00000000" w:rsidRPr="00000000">
        <w:rPr>
          <w:rFonts w:ascii="Rockwell" w:cs="Rockwell" w:eastAsia="Rockwell" w:hAnsi="Rockwell"/>
          <w:sz w:val="18"/>
          <w:szCs w:val="18"/>
          <w:rtl w:val="0"/>
        </w:rPr>
        <w:t xml:space="preserve">, vio caer su valor un 1,7%, su mayor pérdida desde diciembre de 2017 cuando se produjo el </w:t>
      </w:r>
      <w:hyperlink r:id="rId31">
        <w:r w:rsidDel="00000000" w:rsidR="00000000" w:rsidRPr="00000000">
          <w:rPr>
            <w:rFonts w:ascii="Rockwell" w:cs="Rockwell" w:eastAsia="Rockwell" w:hAnsi="Rockwell"/>
            <w:sz w:val="18"/>
            <w:szCs w:val="18"/>
            <w:rtl w:val="0"/>
          </w:rPr>
          <w:t xml:space="preserve">primer proceso de vacancia presidencial contra Pedro Pablo Kuczynski</w:t>
        </w:r>
      </w:hyperlink>
      <w:r w:rsidDel="00000000" w:rsidR="00000000" w:rsidRPr="00000000">
        <w:rPr>
          <w:rFonts w:ascii="Rockwell" w:cs="Rockwell" w:eastAsia="Rockwell" w:hAnsi="Rockwell"/>
          <w:sz w:val="18"/>
          <w:szCs w:val="18"/>
          <w:rtl w:val="0"/>
        </w:rPr>
        <w:t xml:space="preserve">.</w:t>
      </w:r>
    </w:p>
    <w:p w:rsidR="00000000" w:rsidDel="00000000" w:rsidP="00000000" w:rsidRDefault="00000000" w:rsidRPr="00000000" w14:paraId="00000061">
      <w:pP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Tras resultar ganador de las </w:t>
      </w:r>
      <w:hyperlink r:id="rId32">
        <w:r w:rsidDel="00000000" w:rsidR="00000000" w:rsidRPr="00000000">
          <w:rPr>
            <w:rFonts w:ascii="Rockwell" w:cs="Rockwell" w:eastAsia="Rockwell" w:hAnsi="Rockwell"/>
            <w:sz w:val="18"/>
            <w:szCs w:val="18"/>
            <w:rtl w:val="0"/>
          </w:rPr>
          <w:t xml:space="preserve">elecciones generales</w:t>
        </w:r>
      </w:hyperlink>
      <w:r w:rsidDel="00000000" w:rsidR="00000000" w:rsidRPr="00000000">
        <w:rPr>
          <w:rFonts w:ascii="Rockwell" w:cs="Rockwell" w:eastAsia="Rockwell" w:hAnsi="Rockwell"/>
          <w:sz w:val="18"/>
          <w:szCs w:val="18"/>
          <w:rtl w:val="0"/>
        </w:rPr>
        <w:t xml:space="preserve">, Castillo asumió la </w:t>
      </w:r>
      <w:hyperlink r:id="rId33">
        <w:r w:rsidDel="00000000" w:rsidR="00000000" w:rsidRPr="00000000">
          <w:rPr>
            <w:rFonts w:ascii="Rockwell" w:cs="Rockwell" w:eastAsia="Rockwell" w:hAnsi="Rockwell"/>
            <w:sz w:val="18"/>
            <w:szCs w:val="18"/>
            <w:rtl w:val="0"/>
          </w:rPr>
          <w:t xml:space="preserve">presidencia del Perú</w:t>
        </w:r>
      </w:hyperlink>
      <w:r w:rsidDel="00000000" w:rsidR="00000000" w:rsidRPr="00000000">
        <w:rPr>
          <w:rFonts w:ascii="Rockwell" w:cs="Rockwell" w:eastAsia="Rockwell" w:hAnsi="Rockwell"/>
          <w:sz w:val="18"/>
          <w:szCs w:val="18"/>
          <w:rtl w:val="0"/>
        </w:rPr>
        <w:t xml:space="preserve"> el 28 de julio de 2021 en el </w:t>
      </w:r>
      <w:hyperlink r:id="rId34">
        <w:r w:rsidDel="00000000" w:rsidR="00000000" w:rsidRPr="00000000">
          <w:rPr>
            <w:rFonts w:ascii="Rockwell" w:cs="Rockwell" w:eastAsia="Rockwell" w:hAnsi="Rockwell"/>
            <w:sz w:val="18"/>
            <w:szCs w:val="18"/>
            <w:rtl w:val="0"/>
          </w:rPr>
          <w:t xml:space="preserve">Congreso de la República</w:t>
        </w:r>
      </w:hyperlink>
      <w:r w:rsidDel="00000000" w:rsidR="00000000" w:rsidRPr="00000000">
        <w:rPr>
          <w:rFonts w:ascii="Rockwell" w:cs="Rockwell" w:eastAsia="Rockwell" w:hAnsi="Rockwell"/>
          <w:sz w:val="18"/>
          <w:szCs w:val="18"/>
          <w:rtl w:val="0"/>
        </w:rPr>
        <w:t xml:space="preserve">.</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Rockwell" w:cs="Rockwell" w:eastAsia="Rockwell" w:hAnsi="Rockwell"/>
          <w:sz w:val="18"/>
          <w:szCs w:val="18"/>
          <w:rtl w:val="0"/>
        </w:rPr>
        <w:t xml:space="preserve"> Al día siguiente, juramentó de manera simbólica en la </w:t>
      </w:r>
      <w:hyperlink r:id="rId35">
        <w:r w:rsidDel="00000000" w:rsidR="00000000" w:rsidRPr="00000000">
          <w:rPr>
            <w:rFonts w:ascii="Rockwell" w:cs="Rockwell" w:eastAsia="Rockwell" w:hAnsi="Rockwell"/>
            <w:sz w:val="18"/>
            <w:szCs w:val="18"/>
            <w:rtl w:val="0"/>
          </w:rPr>
          <w:t xml:space="preserve">Pampa de la Quinua</w:t>
        </w:r>
      </w:hyperlink>
      <w:r w:rsidDel="00000000" w:rsidR="00000000" w:rsidRPr="00000000">
        <w:rPr>
          <w:rFonts w:ascii="Rockwell" w:cs="Rockwell" w:eastAsia="Rockwell" w:hAnsi="Rockwell"/>
          <w:sz w:val="18"/>
          <w:szCs w:val="18"/>
          <w:rtl w:val="0"/>
        </w:rPr>
        <w:t xml:space="preserve">, en Ayacucho, y presentó a su primer gabinete ministerial presidido por </w:t>
      </w:r>
      <w:hyperlink r:id="rId36">
        <w:r w:rsidDel="00000000" w:rsidR="00000000" w:rsidRPr="00000000">
          <w:rPr>
            <w:rFonts w:ascii="Rockwell" w:cs="Rockwell" w:eastAsia="Rockwell" w:hAnsi="Rockwell"/>
            <w:sz w:val="18"/>
            <w:szCs w:val="18"/>
            <w:rtl w:val="0"/>
          </w:rPr>
          <w:t xml:space="preserve">Guido Bellido</w:t>
        </w:r>
      </w:hyperlink>
      <w:r w:rsidDel="00000000" w:rsidR="00000000" w:rsidRPr="00000000">
        <w:rPr>
          <w:rFonts w:ascii="Rockwell" w:cs="Rockwell" w:eastAsia="Rockwell" w:hAnsi="Rockwell"/>
          <w:sz w:val="18"/>
          <w:szCs w:val="18"/>
          <w:rtl w:val="0"/>
        </w:rPr>
        <w:t xml:space="preserve">.</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Rockwell" w:cs="Rockwell" w:eastAsia="Rockwell" w:hAnsi="Rockwell"/>
          <w:sz w:val="18"/>
          <w:szCs w:val="18"/>
          <w:rtl w:val="0"/>
        </w:rPr>
        <w:t xml:space="preserve"> Pese a las polémicas, el </w:t>
      </w:r>
      <w:hyperlink r:id="rId37">
        <w:r w:rsidDel="00000000" w:rsidR="00000000" w:rsidRPr="00000000">
          <w:rPr>
            <w:rFonts w:ascii="Rockwell" w:cs="Rockwell" w:eastAsia="Rockwell" w:hAnsi="Rockwell"/>
            <w:sz w:val="18"/>
            <w:szCs w:val="18"/>
            <w:rtl w:val="0"/>
          </w:rPr>
          <w:t xml:space="preserve">gabinete Bellido</w:t>
        </w:r>
      </w:hyperlink>
      <w:r w:rsidDel="00000000" w:rsidR="00000000" w:rsidRPr="00000000">
        <w:rPr>
          <w:rFonts w:ascii="Rockwell" w:cs="Rockwell" w:eastAsia="Rockwell" w:hAnsi="Rockwell"/>
          <w:sz w:val="18"/>
          <w:szCs w:val="18"/>
          <w:rtl w:val="0"/>
        </w:rPr>
        <w:t xml:space="preserve"> recibió el voto de confianza del Congreso con 73 votos a favor, 50 en contra y 0 abstenciones.</w:t>
      </w:r>
    </w:p>
    <w:p w:rsidR="00000000" w:rsidDel="00000000" w:rsidP="00000000" w:rsidRDefault="00000000" w:rsidRPr="00000000" w14:paraId="00000062">
      <w:pPr>
        <w:pBdr>
          <w:bottom w:color="a2a9b1" w:space="0" w:sz="6" w:val="single"/>
        </w:pBd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Otra propuesta es elegir una </w:t>
      </w:r>
      <w:hyperlink r:id="rId38">
        <w:r w:rsidDel="00000000" w:rsidR="00000000" w:rsidRPr="00000000">
          <w:rPr>
            <w:rFonts w:ascii="Rockwell" w:cs="Rockwell" w:eastAsia="Rockwell" w:hAnsi="Rockwell"/>
            <w:sz w:val="18"/>
            <w:szCs w:val="18"/>
            <w:rtl w:val="0"/>
          </w:rPr>
          <w:t xml:space="preserve">Asamblea Constituyente</w:t>
        </w:r>
      </w:hyperlink>
      <w:r w:rsidDel="00000000" w:rsidR="00000000" w:rsidRPr="00000000">
        <w:rPr>
          <w:rFonts w:ascii="Rockwell" w:cs="Rockwell" w:eastAsia="Rockwell" w:hAnsi="Rockwell"/>
          <w:sz w:val="18"/>
          <w:szCs w:val="18"/>
          <w:rtl w:val="0"/>
        </w:rPr>
        <w:t xml:space="preserve"> para reemplazar la </w:t>
      </w:r>
      <w:hyperlink r:id="rId39">
        <w:r w:rsidDel="00000000" w:rsidR="00000000" w:rsidRPr="00000000">
          <w:rPr>
            <w:rFonts w:ascii="Rockwell" w:cs="Rockwell" w:eastAsia="Rockwell" w:hAnsi="Rockwell"/>
            <w:sz w:val="18"/>
            <w:szCs w:val="18"/>
            <w:rtl w:val="0"/>
          </w:rPr>
          <w:t xml:space="preserve">constitución de 1993</w:t>
        </w:r>
      </w:hyperlink>
      <w:r w:rsidDel="00000000" w:rsidR="00000000" w:rsidRPr="00000000">
        <w:rPr>
          <w:rFonts w:ascii="Rockwell" w:cs="Rockwell" w:eastAsia="Rockwell" w:hAnsi="Rockwell"/>
          <w:sz w:val="18"/>
          <w:szCs w:val="18"/>
          <w:rtl w:val="0"/>
        </w:rPr>
        <w:t xml:space="preserve">, heredada del </w:t>
      </w:r>
      <w:hyperlink r:id="rId40">
        <w:r w:rsidDel="00000000" w:rsidR="00000000" w:rsidRPr="00000000">
          <w:rPr>
            <w:rFonts w:ascii="Rockwell" w:cs="Rockwell" w:eastAsia="Rockwell" w:hAnsi="Rockwell"/>
            <w:sz w:val="18"/>
            <w:szCs w:val="18"/>
            <w:rtl w:val="0"/>
          </w:rPr>
          <w:t xml:space="preserve">régimen autoritario</w:t>
        </w:r>
      </w:hyperlink>
      <w:r w:rsidDel="00000000" w:rsidR="00000000" w:rsidRPr="00000000">
        <w:rPr>
          <w:rFonts w:ascii="Rockwell" w:cs="Rockwell" w:eastAsia="Rockwell" w:hAnsi="Rockwell"/>
          <w:sz w:val="18"/>
          <w:szCs w:val="18"/>
          <w:rtl w:val="0"/>
        </w:rPr>
        <w:t xml:space="preserve"> de </w:t>
      </w:r>
      <w:hyperlink r:id="rId41">
        <w:r w:rsidDel="00000000" w:rsidR="00000000" w:rsidRPr="00000000">
          <w:rPr>
            <w:rFonts w:ascii="Rockwell" w:cs="Rockwell" w:eastAsia="Rockwell" w:hAnsi="Rockwell"/>
            <w:sz w:val="18"/>
            <w:szCs w:val="18"/>
            <w:rtl w:val="0"/>
          </w:rPr>
          <w:t xml:space="preserve">Alberto Fujimori</w:t>
        </w:r>
      </w:hyperlink>
      <w:r w:rsidDel="00000000" w:rsidR="00000000" w:rsidRPr="00000000">
        <w:rPr>
          <w:rFonts w:ascii="Rockwell" w:cs="Rockwell" w:eastAsia="Rockwell" w:hAnsi="Rockwell"/>
          <w:sz w:val="18"/>
          <w:szCs w:val="18"/>
          <w:rtl w:val="0"/>
        </w:rPr>
        <w:t xml:space="preserve">, al decir que «sirve para defender la corrupción a escala macro».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Rockwell" w:cs="Rockwell" w:eastAsia="Rockwell" w:hAnsi="Rockwell"/>
          <w:sz w:val="18"/>
          <w:szCs w:val="18"/>
          <w:rtl w:val="0"/>
        </w:rPr>
        <w:t xml:space="preserve"> </w:t>
      </w:r>
    </w:p>
    <w:p w:rsidR="00000000" w:rsidDel="00000000" w:rsidP="00000000" w:rsidRDefault="00000000" w:rsidRPr="00000000" w14:paraId="00000063">
      <w:pPr>
        <w:pBdr>
          <w:bottom w:color="a2a9b1" w:space="0" w:sz="6" w:val="single"/>
        </w:pBd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En una entrevista con </w:t>
      </w:r>
      <w:hyperlink r:id="rId42">
        <w:r w:rsidDel="00000000" w:rsidR="00000000" w:rsidRPr="00000000">
          <w:rPr>
            <w:rFonts w:ascii="Rockwell" w:cs="Rockwell" w:eastAsia="Rockwell" w:hAnsi="Rockwell"/>
            <w:i w:val="1"/>
            <w:sz w:val="18"/>
            <w:szCs w:val="18"/>
            <w:rtl w:val="0"/>
          </w:rPr>
          <w:t xml:space="preserve">CNN</w:t>
        </w:r>
      </w:hyperlink>
      <w:r w:rsidDel="00000000" w:rsidR="00000000" w:rsidRPr="00000000">
        <w:rPr>
          <w:rFonts w:ascii="Rockwell" w:cs="Rockwell" w:eastAsia="Rockwell" w:hAnsi="Rockwell"/>
          <w:sz w:val="18"/>
          <w:szCs w:val="18"/>
          <w:rtl w:val="0"/>
        </w:rPr>
        <w:t xml:space="preserve"> dijo que de ser electo mantendría conversaciones con las empresas multinacionales para asegurar que «el 70% de las ganancias se quede para el país y se lleven el 30%, no al revés como es hoy».</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Rockwell" w:cs="Rockwell" w:eastAsia="Rockwell" w:hAnsi="Rockwell"/>
          <w:sz w:val="18"/>
          <w:szCs w:val="18"/>
          <w:rtl w:val="0"/>
        </w:rPr>
        <w:t xml:space="preserve"> </w:t>
      </w:r>
    </w:p>
    <w:p w:rsidR="00000000" w:rsidDel="00000000" w:rsidP="00000000" w:rsidRDefault="00000000" w:rsidRPr="00000000" w14:paraId="00000064">
      <w:pPr>
        <w:pBdr>
          <w:bottom w:color="a2a9b1" w:space="0" w:sz="6" w:val="single"/>
        </w:pBdr>
        <w:shd w:fill="ffffff" w:val="clea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Respecto a la </w:t>
      </w:r>
      <w:hyperlink r:id="rId43">
        <w:r w:rsidDel="00000000" w:rsidR="00000000" w:rsidRPr="00000000">
          <w:rPr>
            <w:rFonts w:ascii="Rockwell" w:cs="Rockwell" w:eastAsia="Rockwell" w:hAnsi="Rockwell"/>
            <w:sz w:val="18"/>
            <w:szCs w:val="18"/>
            <w:rtl w:val="0"/>
          </w:rPr>
          <w:t xml:space="preserve">minería en Perú</w:t>
        </w:r>
      </w:hyperlink>
      <w:r w:rsidDel="00000000" w:rsidR="00000000" w:rsidRPr="00000000">
        <w:rPr>
          <w:rFonts w:ascii="Rockwell" w:cs="Rockwell" w:eastAsia="Rockwell" w:hAnsi="Rockwell"/>
          <w:sz w:val="18"/>
          <w:szCs w:val="18"/>
          <w:rtl w:val="0"/>
        </w:rPr>
        <w:t xml:space="preserve">, Castillo apoya la extracción de minerales en todo el Perú «donde la naturaleza y la población lo permitan».</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Rockwell" w:cs="Rockwell" w:eastAsia="Rockwell" w:hAnsi="Rockwell"/>
          <w:sz w:val="18"/>
          <w:szCs w:val="18"/>
          <w:rtl w:val="0"/>
        </w:rPr>
        <w:t xml:space="preserve">También ha pedido una regulación más estricta de los medios de comunicación en Perú. </w:t>
      </w:r>
    </w:p>
    <w:p w:rsidR="00000000" w:rsidDel="00000000" w:rsidP="00000000" w:rsidRDefault="00000000" w:rsidRPr="00000000" w14:paraId="00000065">
      <w:pPr>
        <w:pBdr>
          <w:bottom w:color="a2a9b1" w:space="0" w:sz="6" w:val="single"/>
        </w:pBdr>
        <w:shd w:fill="ffffff" w:val="clear"/>
        <w:spacing w:after="0" w:before="120" w:line="240" w:lineRule="auto"/>
        <w:ind w:firstLine="170"/>
        <w:jc w:val="both"/>
        <w:rPr>
          <w:rFonts w:ascii="Rockwell" w:cs="Rockwell" w:eastAsia="Rockwell" w:hAnsi="Rockwell"/>
          <w:color w:val="262626"/>
          <w:sz w:val="18"/>
          <w:szCs w:val="18"/>
        </w:rPr>
      </w:pPr>
      <w:r w:rsidDel="00000000" w:rsidR="00000000" w:rsidRPr="00000000">
        <w:rPr>
          <w:rtl w:val="0"/>
        </w:rPr>
      </w:r>
    </w:p>
    <w:p w:rsidR="00000000" w:rsidDel="00000000" w:rsidP="00000000" w:rsidRDefault="00000000" w:rsidRPr="00000000" w14:paraId="00000066">
      <w:pPr>
        <w:spacing w:after="0" w:line="240" w:lineRule="auto"/>
        <w:rPr>
          <w:rFonts w:ascii="Rockwell" w:cs="Rockwell" w:eastAsia="Rockwell" w:hAnsi="Rockwell"/>
          <w:b w:val="1"/>
          <w:i w:val="1"/>
          <w:color w:val="0070c0"/>
          <w:sz w:val="36"/>
          <w:szCs w:val="36"/>
        </w:rPr>
      </w:pPr>
      <w:r w:rsidDel="00000000" w:rsidR="00000000" w:rsidRPr="00000000">
        <w:rPr>
          <w:b w:val="1"/>
          <w:i w:val="1"/>
          <w:color w:val="0070c0"/>
          <w:sz w:val="56"/>
          <w:szCs w:val="56"/>
          <w:rtl w:val="0"/>
        </w:rPr>
        <w:t xml:space="preserve">6</w:t>
      </w:r>
      <w:r w:rsidDel="00000000" w:rsidR="00000000" w:rsidRPr="00000000">
        <w:rPr>
          <w:i w:val="1"/>
          <w:color w:val="0070c0"/>
          <w:sz w:val="96"/>
          <w:szCs w:val="96"/>
          <w:rtl w:val="0"/>
        </w:rPr>
        <w:t xml:space="preserve"> </w:t>
      </w:r>
      <w:r w:rsidDel="00000000" w:rsidR="00000000" w:rsidRPr="00000000">
        <w:rPr>
          <w:rFonts w:ascii="Rockwell" w:cs="Rockwell" w:eastAsia="Rockwell" w:hAnsi="Rockwell"/>
          <w:b w:val="1"/>
          <w:i w:val="1"/>
          <w:color w:val="0070c0"/>
          <w:sz w:val="36"/>
          <w:szCs w:val="36"/>
          <w:rtl w:val="0"/>
        </w:rPr>
        <w:t xml:space="preserve">Perú: La contienda de clases </w:t>
      </w:r>
    </w:p>
    <w:p w:rsidR="00000000" w:rsidDel="00000000" w:rsidP="00000000" w:rsidRDefault="00000000" w:rsidRPr="00000000" w14:paraId="00000067">
      <w:pPr>
        <w:shd w:fill="ffffff" w:val="clear"/>
        <w:spacing w:after="0" w:before="120" w:line="240" w:lineRule="auto"/>
        <w:ind w:firstLine="170"/>
        <w:jc w:val="both"/>
        <w:rPr>
          <w:rFonts w:ascii="Rockwell" w:cs="Rockwell" w:eastAsia="Rockwell" w:hAnsi="Rockwell"/>
          <w:sz w:val="18"/>
          <w:szCs w:val="18"/>
          <w:vertAlign w:val="superscript"/>
        </w:rPr>
      </w:pPr>
      <w:r w:rsidDel="00000000" w:rsidR="00000000" w:rsidRPr="00000000">
        <w:rPr>
          <w:rFonts w:ascii="Rockwell" w:cs="Rockwell" w:eastAsia="Rockwell" w:hAnsi="Rockwell"/>
          <w:sz w:val="18"/>
          <w:szCs w:val="18"/>
          <w:rtl w:val="0"/>
        </w:rPr>
        <w:t xml:space="preserve">En comparación con la hermana República de México, nuestra patria el Perú es un país de menor población, aunque muy rico en recursos naturales. La población de México se estima en 130 millones 262 mil habitantes en una extensión territorial de 1’964,375 Km</w:t>
      </w:r>
      <w:r w:rsidDel="00000000" w:rsidR="00000000" w:rsidRPr="00000000">
        <w:rPr>
          <w:rFonts w:ascii="Rockwell" w:cs="Rockwell" w:eastAsia="Rockwell" w:hAnsi="Rockwell"/>
          <w:sz w:val="18"/>
          <w:szCs w:val="18"/>
          <w:vertAlign w:val="superscript"/>
          <w:rtl w:val="0"/>
        </w:rPr>
        <w:t xml:space="preserve">2</w:t>
      </w:r>
      <w:r w:rsidDel="00000000" w:rsidR="00000000" w:rsidRPr="00000000">
        <w:rPr>
          <w:rFonts w:ascii="Rockwell" w:cs="Rockwell" w:eastAsia="Rockwell" w:hAnsi="Rockwell"/>
          <w:sz w:val="18"/>
          <w:szCs w:val="18"/>
          <w:rtl w:val="0"/>
        </w:rPr>
        <w:t xml:space="preserve"> en tanto que los peruanos somos 33 millones 35 mil habitantes en un territorio de 1’285,216 Km</w:t>
      </w:r>
      <w:r w:rsidDel="00000000" w:rsidR="00000000" w:rsidRPr="00000000">
        <w:rPr>
          <w:rFonts w:ascii="Rockwell" w:cs="Rockwell" w:eastAsia="Rockwell" w:hAnsi="Rockwell"/>
          <w:sz w:val="18"/>
          <w:szCs w:val="18"/>
          <w:vertAlign w:val="superscript"/>
          <w:rtl w:val="0"/>
        </w:rPr>
        <w:t xml:space="preserve">2</w:t>
      </w:r>
    </w:p>
    <w:p w:rsidR="00000000" w:rsidDel="00000000" w:rsidP="00000000" w:rsidRDefault="00000000" w:rsidRPr="00000000" w14:paraId="00000068">
      <w:pPr>
        <w:spacing w:after="0" w:line="240" w:lineRule="auto"/>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   </w:t>
      </w:r>
    </w:p>
    <w:p w:rsidR="00000000" w:rsidDel="00000000" w:rsidP="00000000" w:rsidRDefault="00000000" w:rsidRPr="00000000" w14:paraId="00000069">
      <w:pPr>
        <w:spacing w:after="0" w:line="240" w:lineRule="auto"/>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   La Confederación Nacional de Instituciones Empresariales Privadas, comúnmente conocida como CONFIEP, fue fundada el 12 de noviembre de 1984 y agrupa a 23 gremios empresariales. Es el poder fáctico, la que se siente dueña del país. Sus antepasados se opusieron a los Libertadores de América. Cuando se proclamó la Independencia, se apresuraron en saquear las minas, los bosques, la tierra, el mar, la fuerza de trabajo, igual que los encomenderos españoles. Y tal vez peor.</w:t>
      </w:r>
    </w:p>
    <w:p w:rsidR="00000000" w:rsidDel="00000000" w:rsidP="00000000" w:rsidRDefault="00000000" w:rsidRPr="00000000" w14:paraId="0000006A">
      <w:pPr>
        <w:spacing w:after="0" w:line="240" w:lineRule="auto"/>
        <w:jc w:val="both"/>
        <w:rPr>
          <w:rFonts w:ascii="Rockwell" w:cs="Rockwell" w:eastAsia="Rockwell" w:hAnsi="Rockwell"/>
          <w:sz w:val="18"/>
          <w:szCs w:val="18"/>
        </w:rPr>
      </w:pPr>
      <w:r w:rsidDel="00000000" w:rsidR="00000000" w:rsidRPr="00000000">
        <w:rPr>
          <w:rtl w:val="0"/>
        </w:rPr>
      </w:r>
    </w:p>
    <w:p w:rsidR="00000000" w:rsidDel="00000000" w:rsidP="00000000" w:rsidRDefault="00000000" w:rsidRPr="00000000" w14:paraId="0000006B">
      <w:pPr>
        <w:spacing w:after="0" w:line="240" w:lineRule="auto"/>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En el Perú desaparecieron los partidos tradicionales. Ahora solamente quedan los remanentes del fujimorismo, que en su época de esplendor el último decenio del siglo xx estuvo a punto de convertirnos en Narcoestado. </w:t>
      </w:r>
    </w:p>
    <w:p w:rsidR="00000000" w:rsidDel="00000000" w:rsidP="00000000" w:rsidRDefault="00000000" w:rsidRPr="00000000" w14:paraId="0000006C">
      <w:pP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Por ahí pulula el Popular Cristiano, el partido de los gerentes, fuera de combate. No gana ni un comité de damas para organizar una colecta pro mantito de la Virgen Santísima, nada. El Apra que hace tiempo perdió soga y cabra por traficar con la escopeta de dos cañones. Acción popular, que unos años agoniza y otros vuelve a la escena política. La izquierda más dividida que cuando marchó en Izquierda Unida con cabeza de ánfora y rostro de planillón. </w:t>
      </w:r>
    </w:p>
    <w:p w:rsidR="00000000" w:rsidDel="00000000" w:rsidP="00000000" w:rsidRDefault="00000000" w:rsidRPr="00000000" w14:paraId="0000006D">
      <w:pP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Cuando triunfó el candidato Pedro Castillo Terrones, toda la izquierda tajaba su lápiz. Ahora que acaba de experimentar una escisión, muchos se quedan mirando la televisión basura. Nuestra conciencia de clase es precaria, exigua, desnutrida.</w:t>
      </w:r>
    </w:p>
    <w:p w:rsidR="00000000" w:rsidDel="00000000" w:rsidP="00000000" w:rsidRDefault="00000000" w:rsidRPr="00000000" w14:paraId="0000006E">
      <w:pP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Mientras tanto, asoma el peligro fascista, como en Colombia, como en Paraguay donde el Ejército de Mario Abdo secuestra niñas para doblegar a sus padres que luchan por educación y trabajo.</w:t>
      </w:r>
    </w:p>
    <w:p w:rsidR="00000000" w:rsidDel="00000000" w:rsidP="00000000" w:rsidRDefault="00000000" w:rsidRPr="00000000" w14:paraId="0000006F">
      <w:pPr>
        <w:spacing w:after="0" w:before="120" w:line="240" w:lineRule="auto"/>
        <w:ind w:firstLine="170"/>
        <w:jc w:val="both"/>
        <w:rPr>
          <w:rFonts w:ascii="Rockwell" w:cs="Rockwell" w:eastAsia="Rockwell" w:hAnsi="Rockwell"/>
          <w:sz w:val="18"/>
          <w:szCs w:val="18"/>
        </w:rPr>
      </w:pPr>
      <w:r w:rsidDel="00000000" w:rsidR="00000000" w:rsidRPr="00000000">
        <w:rPr>
          <w:rFonts w:ascii="Rockwell" w:cs="Rockwell" w:eastAsia="Rockwell" w:hAnsi="Rockwell"/>
          <w:sz w:val="18"/>
          <w:szCs w:val="18"/>
          <w:rtl w:val="0"/>
        </w:rPr>
        <w:t xml:space="preserve">En el Perú hay gente que repudia a nuestros pueblos originarios y reconocen a los Estados Unidos como su patria putativa, a ese país donde las armas se venden como artefactos domésticos y cualquier tarugo de cabeza rapada un lunes abre fuego contra niños y maestras porque la madre no le dio dinero para su dosis de alcaloide. </w:t>
      </w:r>
    </w:p>
    <w:p w:rsidR="00000000" w:rsidDel="00000000" w:rsidP="00000000" w:rsidRDefault="00000000" w:rsidRPr="00000000" w14:paraId="00000070">
      <w:pPr>
        <w:spacing w:after="0" w:before="120" w:line="240" w:lineRule="auto"/>
        <w:ind w:firstLine="170"/>
        <w:jc w:val="both"/>
        <w:rPr>
          <w:rFonts w:ascii="Rockwell" w:cs="Rockwell" w:eastAsia="Rockwell" w:hAnsi="Rockwell"/>
          <w:color w:val="000000"/>
          <w:sz w:val="18"/>
          <w:szCs w:val="18"/>
        </w:rPr>
      </w:pPr>
      <w:r w:rsidDel="00000000" w:rsidR="00000000" w:rsidRPr="00000000">
        <w:rPr>
          <w:rFonts w:ascii="Rockwell" w:cs="Rockwell" w:eastAsia="Rockwell" w:hAnsi="Rockwell"/>
          <w:sz w:val="18"/>
          <w:szCs w:val="18"/>
          <w:rtl w:val="0"/>
        </w:rPr>
        <w:t xml:space="preserve">Esos fascistas peruanos tocan las puertas de los cuarteles llamando a un golpe de Estado. Los militares no </w:t>
      </w:r>
      <w:r w:rsidDel="00000000" w:rsidR="00000000" w:rsidRPr="00000000">
        <w:rPr>
          <w:rFonts w:ascii="Rockwell" w:cs="Rockwell" w:eastAsia="Rockwell" w:hAnsi="Rockwell"/>
          <w:color w:val="000000"/>
          <w:sz w:val="18"/>
          <w:szCs w:val="18"/>
          <w:rtl w:val="0"/>
        </w:rPr>
        <w:t xml:space="preserve">les hacen el menor caso. Los conocen como políticos ladrones, evasores de tributos, lobbistas de Congreso, encubridores del narcotráfico, magistrados prevaricadores, notarios que hacen milagros con firmas de difuntos. En Perú la corrupción campea y los fascistas aúllan todos los días a través de la televisión y prensa escrita, la radio y las redes sociales que los rojos han secuestrado el Estado y que la lucha de clases pugna por una Asamblea Constituyente.</w:t>
      </w:r>
    </w:p>
    <w:p w:rsidR="00000000" w:rsidDel="00000000" w:rsidP="00000000" w:rsidRDefault="00000000" w:rsidRPr="00000000" w14:paraId="00000071">
      <w:pPr>
        <w:spacing w:after="0" w:line="240" w:lineRule="auto"/>
        <w:rPr>
          <w:rFonts w:ascii="Rockwell" w:cs="Rockwell" w:eastAsia="Rockwell" w:hAnsi="Rockwell"/>
          <w:b w:val="1"/>
          <w:i w:val="1"/>
          <w:color w:val="2e75b5"/>
          <w:sz w:val="28"/>
          <w:szCs w:val="28"/>
        </w:rPr>
      </w:pPr>
      <w:r w:rsidDel="00000000" w:rsidR="00000000" w:rsidRPr="00000000">
        <w:rPr>
          <w:i w:val="1"/>
          <w:color w:val="0070c0"/>
          <w:sz w:val="56"/>
          <w:szCs w:val="56"/>
          <w:rtl w:val="0"/>
        </w:rPr>
        <w:t xml:space="preserve">7</w:t>
      </w:r>
      <w:r w:rsidDel="00000000" w:rsidR="00000000" w:rsidRPr="00000000">
        <w:rPr>
          <w:rFonts w:ascii="Rockwell" w:cs="Rockwell" w:eastAsia="Rockwell" w:hAnsi="Rockwell"/>
          <w:i w:val="1"/>
          <w:color w:val="0070c0"/>
          <w:sz w:val="56"/>
          <w:szCs w:val="56"/>
          <w:rtl w:val="0"/>
        </w:rPr>
        <w:t xml:space="preserve">   </w:t>
      </w:r>
      <w:r w:rsidDel="00000000" w:rsidR="00000000" w:rsidRPr="00000000">
        <w:rPr>
          <w:rFonts w:ascii="Rockwell" w:cs="Rockwell" w:eastAsia="Rockwell" w:hAnsi="Rockwell"/>
          <w:b w:val="1"/>
          <w:i w:val="1"/>
          <w:color w:val="0070c0"/>
          <w:sz w:val="28"/>
          <w:szCs w:val="28"/>
          <w:rtl w:val="0"/>
        </w:rPr>
        <w:t xml:space="preserve">PERÚ:</w:t>
      </w:r>
      <w:r w:rsidDel="00000000" w:rsidR="00000000" w:rsidRPr="00000000">
        <w:rPr>
          <w:rFonts w:ascii="Rockwell" w:cs="Rockwell" w:eastAsia="Rockwell" w:hAnsi="Rockwell"/>
          <w:i w:val="1"/>
          <w:color w:val="0070c0"/>
          <w:sz w:val="56"/>
          <w:szCs w:val="56"/>
          <w:rtl w:val="0"/>
        </w:rPr>
        <w:t xml:space="preserve"> </w:t>
      </w:r>
      <w:r w:rsidDel="00000000" w:rsidR="00000000" w:rsidRPr="00000000">
        <w:rPr>
          <w:rFonts w:ascii="Rockwell" w:cs="Rockwell" w:eastAsia="Rockwell" w:hAnsi="Rockwell"/>
          <w:b w:val="1"/>
          <w:i w:val="1"/>
          <w:color w:val="2e75b5"/>
          <w:sz w:val="28"/>
          <w:szCs w:val="28"/>
          <w:rtl w:val="0"/>
        </w:rPr>
        <w:t xml:space="preserve">No más saqueo de nuestros recursos naturales</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170"/>
        <w:jc w:val="left"/>
        <w:rPr>
          <w:rFonts w:ascii="Rockwell" w:cs="Rockwell" w:eastAsia="Rockwell" w:hAnsi="Rockwell"/>
          <w:b w:val="0"/>
          <w:i w:val="0"/>
          <w:smallCaps w:val="0"/>
          <w:strike w:val="0"/>
          <w:color w:val="333333"/>
          <w:sz w:val="18"/>
          <w:szCs w:val="18"/>
          <w:u w:val="none"/>
          <w:shd w:fill="auto" w:val="clear"/>
          <w:vertAlign w:val="baseline"/>
        </w:rPr>
      </w:pP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La burguesía peruana dice que Perú es un país de antigua tradición minera, tradición que mantiene y cultiva gracias a la presencia de empresas líderes a nivel internacional. Y que la Cordillera de los Andes a lo largo del territorio, constituye nuestra principal fuente de recursos minerales.</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170"/>
        <w:jc w:val="left"/>
        <w:rPr>
          <w:rFonts w:ascii="Rockwell" w:cs="Rockwell" w:eastAsia="Rockwell" w:hAnsi="Rockwell"/>
          <w:b w:val="0"/>
          <w:i w:val="0"/>
          <w:smallCaps w:val="0"/>
          <w:strike w:val="0"/>
          <w:color w:val="333333"/>
          <w:sz w:val="18"/>
          <w:szCs w:val="18"/>
          <w:u w:val="none"/>
          <w:shd w:fill="auto" w:val="clear"/>
          <w:vertAlign w:val="baseline"/>
        </w:rPr>
      </w:pP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Perú es el segundo productor de plata, cobre y zinc a nivel mundial. Asimismo, es el primer productor de oro, zinc, estaño, plomo y molibdeno en América Latina. La Cordillera de los Andes es la principal fuente de depósitos minerales del mundo.</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170"/>
        <w:jc w:val="left"/>
        <w:rPr>
          <w:rFonts w:ascii="Rockwell" w:cs="Rockwell" w:eastAsia="Rockwell" w:hAnsi="Rockwell"/>
          <w:b w:val="0"/>
          <w:i w:val="0"/>
          <w:smallCaps w:val="0"/>
          <w:strike w:val="0"/>
          <w:color w:val="333333"/>
          <w:sz w:val="18"/>
          <w:szCs w:val="18"/>
          <w:u w:val="none"/>
          <w:shd w:fill="auto" w:val="clear"/>
          <w:vertAlign w:val="baseline"/>
        </w:rPr>
      </w:pP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¿Qué franja porcentual de esa riqueza que vemos salir a diario de los barcos hacia el mundo industrializado beneficia a la salud, la educación, la vivienda y el desarrollo de los trabajadores mineros y de los peruanos en general?</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170"/>
        <w:jc w:val="left"/>
        <w:rPr>
          <w:rFonts w:ascii="Rockwell" w:cs="Rockwell" w:eastAsia="Rockwell" w:hAnsi="Rockwell"/>
          <w:b w:val="0"/>
          <w:i w:val="0"/>
          <w:smallCaps w:val="0"/>
          <w:strike w:val="0"/>
          <w:color w:val="333333"/>
          <w:sz w:val="18"/>
          <w:szCs w:val="18"/>
          <w:u w:val="none"/>
          <w:shd w:fill="auto" w:val="clear"/>
          <w:vertAlign w:val="baseline"/>
        </w:rPr>
      </w:pP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El uno por ciento partido en cuatro. La misma ventaja que el profesor rural Pedro Castillo Terrones le sacó a Keiko Fujimori, la candidata del frustrado </w:t>
      </w:r>
      <w:r w:rsidDel="00000000" w:rsidR="00000000" w:rsidRPr="00000000">
        <w:rPr>
          <w:rFonts w:ascii="Rockwell" w:cs="Rockwell" w:eastAsia="Rockwell" w:hAnsi="Rockwell"/>
          <w:b w:val="1"/>
          <w:i w:val="0"/>
          <w:smallCaps w:val="0"/>
          <w:strike w:val="0"/>
          <w:color w:val="333333"/>
          <w:sz w:val="18"/>
          <w:szCs w:val="18"/>
          <w:u w:val="none"/>
          <w:shd w:fill="auto" w:val="clear"/>
          <w:vertAlign w:val="baseline"/>
          <w:rtl w:val="0"/>
        </w:rPr>
        <w:t xml:space="preserve">proyecto de Narcoestado </w:t>
      </w: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en la segunda vuelta.</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170"/>
        <w:jc w:val="left"/>
        <w:rPr>
          <w:rFonts w:ascii="Rockwell" w:cs="Rockwell" w:eastAsia="Rockwell" w:hAnsi="Rockwell"/>
          <w:b w:val="0"/>
          <w:i w:val="0"/>
          <w:smallCaps w:val="0"/>
          <w:strike w:val="0"/>
          <w:color w:val="333333"/>
          <w:sz w:val="18"/>
          <w:szCs w:val="18"/>
          <w:u w:val="none"/>
          <w:shd w:fill="auto" w:val="clear"/>
          <w:vertAlign w:val="baseline"/>
        </w:rPr>
      </w:pPr>
      <w:r w:rsidDel="00000000" w:rsidR="00000000" w:rsidRPr="00000000">
        <w:rPr>
          <w:rFonts w:ascii="Rockwell" w:cs="Rockwell" w:eastAsia="Rockwell" w:hAnsi="Rockwell"/>
          <w:b w:val="0"/>
          <w:i w:val="0"/>
          <w:smallCaps w:val="0"/>
          <w:strike w:val="0"/>
          <w:color w:val="333333"/>
          <w:sz w:val="18"/>
          <w:szCs w:val="18"/>
          <w:u w:val="none"/>
          <w:shd w:fill="auto" w:val="clear"/>
          <w:vertAlign w:val="baseline"/>
          <w:rtl w:val="0"/>
        </w:rPr>
        <w:t xml:space="preserve">Es cierto que este gobierno tiene mil limitaciones, mil deficiencias, mil utopías, mil opositores que lo quieren hacer pulpa, con la ayuda de los Estados Unidos, campeón de la cachiporra. De los trabajadores, y de nadie más depende que el triunfo en las urnas se consolide día a día, porque otro mundo es posible.</w:t>
      </w:r>
    </w:p>
    <w:p w:rsidR="00000000" w:rsidDel="00000000" w:rsidP="00000000" w:rsidRDefault="00000000" w:rsidRPr="00000000" w14:paraId="00000077">
      <w:pPr>
        <w:shd w:fill="ffffff" w:val="clear"/>
        <w:spacing w:after="0" w:line="240" w:lineRule="auto"/>
        <w:ind w:firstLine="170"/>
        <w:rPr>
          <w:rFonts w:ascii="Rockwell" w:cs="Rockwell" w:eastAsia="Rockwell" w:hAnsi="Rockwell"/>
          <w:b w:val="1"/>
          <w:i w:val="1"/>
          <w:color w:val="002060"/>
          <w:sz w:val="18"/>
          <w:szCs w:val="18"/>
        </w:rPr>
      </w:pPr>
      <w:r w:rsidDel="00000000" w:rsidR="00000000" w:rsidRPr="00000000">
        <w:rPr>
          <w:rtl w:val="0"/>
        </w:rPr>
      </w:r>
    </w:p>
    <w:p w:rsidR="00000000" w:rsidDel="00000000" w:rsidP="00000000" w:rsidRDefault="00000000" w:rsidRPr="00000000" w14:paraId="00000078">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  Vocero político y secretario nacional de relaciones internacionales del Partido Humanista Peruano, partido miembro del Foro de Sao Paulo y de la Copppal</w:t>
      </w:r>
    </w:p>
    <w:p w:rsidR="00000000" w:rsidDel="00000000" w:rsidP="00000000" w:rsidRDefault="00000000" w:rsidRPr="00000000" w14:paraId="00000079">
      <w:pPr>
        <w:shd w:fill="ffffff" w:val="clear"/>
        <w:spacing w:after="0" w:line="240" w:lineRule="auto"/>
        <w:ind w:firstLine="170"/>
        <w:rPr>
          <w:rFonts w:ascii="Rockwell" w:cs="Rockwell" w:eastAsia="Rockwell" w:hAnsi="Rockwell"/>
          <w:b w:val="1"/>
          <w:i w:val="1"/>
          <w:color w:val="002060"/>
        </w:rPr>
      </w:pPr>
      <w:r w:rsidDel="00000000" w:rsidR="00000000" w:rsidRPr="00000000">
        <w:rPr>
          <w:rtl w:val="0"/>
        </w:rPr>
      </w:r>
    </w:p>
    <w:p w:rsidR="00000000" w:rsidDel="00000000" w:rsidP="00000000" w:rsidRDefault="00000000" w:rsidRPr="00000000" w14:paraId="0000007A">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Email:</w:t>
      </w:r>
    </w:p>
    <w:p w:rsidR="00000000" w:rsidDel="00000000" w:rsidP="00000000" w:rsidRDefault="00000000" w:rsidRPr="00000000" w14:paraId="0000007B">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rriipartidohumanistaperuano@gmail.com</w:t>
      </w:r>
    </w:p>
    <w:p w:rsidR="00000000" w:rsidDel="00000000" w:rsidP="00000000" w:rsidRDefault="00000000" w:rsidRPr="00000000" w14:paraId="0000007C">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WhatsApp</w:t>
      </w:r>
    </w:p>
    <w:p w:rsidR="00000000" w:rsidDel="00000000" w:rsidP="00000000" w:rsidRDefault="00000000" w:rsidRPr="00000000" w14:paraId="0000007D">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+51956828722</w:t>
      </w:r>
    </w:p>
    <w:p w:rsidR="00000000" w:rsidDel="00000000" w:rsidP="00000000" w:rsidRDefault="00000000" w:rsidRPr="00000000" w14:paraId="0000007E">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Twitter</w:t>
      </w:r>
    </w:p>
    <w:p w:rsidR="00000000" w:rsidDel="00000000" w:rsidP="00000000" w:rsidRDefault="00000000" w:rsidRPr="00000000" w14:paraId="0000007F">
      <w:pPr>
        <w:shd w:fill="ffffff" w:val="clear"/>
        <w:spacing w:after="0" w:line="240" w:lineRule="auto"/>
        <w:ind w:firstLine="170"/>
        <w:rPr>
          <w:rFonts w:ascii="Rockwell" w:cs="Rockwell" w:eastAsia="Rockwell" w:hAnsi="Rockwell"/>
          <w:b w:val="1"/>
          <w:i w:val="1"/>
          <w:color w:val="002060"/>
        </w:rPr>
      </w:pPr>
      <w:r w:rsidDel="00000000" w:rsidR="00000000" w:rsidRPr="00000000">
        <w:rPr>
          <w:rFonts w:ascii="Rockwell" w:cs="Rockwell" w:eastAsia="Rockwell" w:hAnsi="Rockwell"/>
          <w:b w:val="1"/>
          <w:i w:val="1"/>
          <w:color w:val="002060"/>
          <w:rtl w:val="0"/>
        </w:rPr>
        <w:t xml:space="preserve">@LeonelFalcon</w:t>
      </w:r>
    </w:p>
    <w:p w:rsidR="00000000" w:rsidDel="00000000" w:rsidP="00000000" w:rsidRDefault="00000000" w:rsidRPr="00000000" w14:paraId="00000080">
      <w:pPr>
        <w:spacing w:after="0" w:line="240" w:lineRule="auto"/>
        <w:ind w:firstLine="170"/>
        <w:rPr>
          <w:rFonts w:ascii="Rockwell" w:cs="Rockwell" w:eastAsia="Rockwell" w:hAnsi="Rockwell"/>
          <w:b w:val="1"/>
        </w:rPr>
      </w:pPr>
      <w:r w:rsidDel="00000000" w:rsidR="00000000" w:rsidRPr="00000000">
        <w:rPr>
          <w:rtl w:val="0"/>
        </w:rPr>
      </w:r>
    </w:p>
    <w:p w:rsidR="00000000" w:rsidDel="00000000" w:rsidP="00000000" w:rsidRDefault="00000000" w:rsidRPr="00000000" w14:paraId="00000081">
      <w:pPr>
        <w:spacing w:after="0" w:line="240" w:lineRule="auto"/>
        <w:ind w:firstLine="170"/>
        <w:rPr>
          <w:rFonts w:ascii="Rockwell" w:cs="Rockwell" w:eastAsia="Rockwell" w:hAnsi="Rockwell"/>
          <w:b w:val="1"/>
          <w:color w:val="0070c0"/>
        </w:rPr>
      </w:pPr>
      <w:r w:rsidDel="00000000" w:rsidR="00000000" w:rsidRPr="00000000">
        <w:rPr>
          <w:rtl w:val="0"/>
        </w:rPr>
      </w:r>
    </w:p>
    <w:p w:rsidR="00000000" w:rsidDel="00000000" w:rsidP="00000000" w:rsidRDefault="00000000" w:rsidRPr="00000000" w14:paraId="00000082">
      <w:pPr>
        <w:spacing w:after="0" w:line="240" w:lineRule="auto"/>
        <w:rPr>
          <w:rFonts w:ascii="Rockwell" w:cs="Rockwell" w:eastAsia="Rockwell" w:hAnsi="Rockwell"/>
        </w:rPr>
      </w:pPr>
      <w:r w:rsidDel="00000000" w:rsidR="00000000" w:rsidRPr="00000000">
        <w:rPr>
          <w:rtl w:val="0"/>
        </w:rPr>
      </w:r>
    </w:p>
    <w:sectPr>
      <w:type w:val="continuous"/>
      <w:pgSz w:h="16838" w:w="11906"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Rockwell"/>
  <w:font w:name="Arial"/>
  <w:font w:name="Open San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P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es.wikipedia.org/wiki/Gobierno_de_Alberto_Fujimori" TargetMode="External"/><Relationship Id="rId20" Type="http://schemas.openxmlformats.org/officeDocument/2006/relationships/hyperlink" Target="https://es.wikipedia.org/wiki/Per%C3%BA_Libre" TargetMode="External"/><Relationship Id="rId42" Type="http://schemas.openxmlformats.org/officeDocument/2006/relationships/hyperlink" Target="https://es.wikipedia.org/wiki/CNN" TargetMode="External"/><Relationship Id="rId41" Type="http://schemas.openxmlformats.org/officeDocument/2006/relationships/hyperlink" Target="https://es.wikipedia.org/wiki/Alberto_Fujimori" TargetMode="External"/><Relationship Id="rId22" Type="http://schemas.openxmlformats.org/officeDocument/2006/relationships/hyperlink" Target="https://es.wikipedia.org/wiki/Keiko_Fujimori" TargetMode="External"/><Relationship Id="rId21" Type="http://schemas.openxmlformats.org/officeDocument/2006/relationships/hyperlink" Target="https://es.wikipedia.org/wiki/Balotaje" TargetMode="External"/><Relationship Id="rId43" Type="http://schemas.openxmlformats.org/officeDocument/2006/relationships/hyperlink" Target="https://es.wikipedia.org/wiki/Industria_minera_en_el_Per%C3%BA" TargetMode="External"/><Relationship Id="rId24" Type="http://schemas.openxmlformats.org/officeDocument/2006/relationships/hyperlink" Target="https://es.wikipedia.org/wiki/Congreso_de_la_Rep%C3%BAblica_del_Per%C3%BA" TargetMode="External"/><Relationship Id="rId23" Type="http://schemas.openxmlformats.org/officeDocument/2006/relationships/hyperlink" Target="https://es.wikipedia.org/wiki/Carlos_Basombr%C3%ADo_Iglesi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nnespanol.cnn.com/2019/09/04/alerta-mexico-investigacion-desaparecidos-ayotzinapa-llena-de-irregularidades-dice-el-sub-secretario-de-gobernacion/" TargetMode="External"/><Relationship Id="rId26" Type="http://schemas.openxmlformats.org/officeDocument/2006/relationships/hyperlink" Target="https://es.wikipedia.org/wiki/Asamblea_constituyente" TargetMode="External"/><Relationship Id="rId25" Type="http://schemas.openxmlformats.org/officeDocument/2006/relationships/hyperlink" Target="https://es.wikipedia.org/wiki/Constituci%C3%B3n_Pol%C3%ADtica_del_Per%C3%BA_de_1993" TargetMode="External"/><Relationship Id="rId28" Type="http://schemas.openxmlformats.org/officeDocument/2006/relationships/hyperlink" Target="https://es.wikipedia.org/wiki/Plaza_San_Mart%C3%ADn_(Lima)" TargetMode="External"/><Relationship Id="rId27" Type="http://schemas.openxmlformats.org/officeDocument/2006/relationships/hyperlink" Target="https://es.wikipedia.org/wiki/Centro_de_Lima" TargetMode="External"/><Relationship Id="rId5" Type="http://schemas.openxmlformats.org/officeDocument/2006/relationships/styles" Target="styles.xml"/><Relationship Id="rId6" Type="http://schemas.openxmlformats.org/officeDocument/2006/relationships/hyperlink" Target="https://cnnespanol.cnn.com/2015/09/25/se-cumple-un-ano-de-la-desaparicion-de-los-43-de-ayotzinapa-que-se-sabe-del-caso/" TargetMode="External"/><Relationship Id="rId29" Type="http://schemas.openxmlformats.org/officeDocument/2006/relationships/hyperlink" Target="https://es.wikipedia.org/wiki/Plaza_Dos_de_Mayo" TargetMode="External"/><Relationship Id="rId7" Type="http://schemas.openxmlformats.org/officeDocument/2006/relationships/hyperlink" Target="https://cnnespanol.cnn.com/2015/09/06/estudiantes-de-ayotzinapa-no-fueron-incinerados-en-el-basurero-de-cocula-concluye-un-grupo-de-expertos/" TargetMode="External"/><Relationship Id="rId8" Type="http://schemas.openxmlformats.org/officeDocument/2006/relationships/hyperlink" Target="https://cnnespanol.cnn.com/2015/12/08/caso-ayotzinapa-no-hubo-incendio-en-el-basurero-de-cocula-dicen-expertos/" TargetMode="External"/><Relationship Id="rId31" Type="http://schemas.openxmlformats.org/officeDocument/2006/relationships/hyperlink" Target="https://es.wikipedia.org/wiki/Primer_proceso_de_vacancia_presidencial_contra_Pedro_Pablo_Kuczynski" TargetMode="External"/><Relationship Id="rId30" Type="http://schemas.openxmlformats.org/officeDocument/2006/relationships/hyperlink" Target="https://es.wikipedia.org/wiki/Sol_(moneda_del_Per%C3%BA)" TargetMode="External"/><Relationship Id="rId11" Type="http://schemas.openxmlformats.org/officeDocument/2006/relationships/hyperlink" Target="https://cnnespanol.cnn.com/video/mexico-estudiantes-ayotzinapa-kay-guerrero-conclusiones/" TargetMode="External"/><Relationship Id="rId33" Type="http://schemas.openxmlformats.org/officeDocument/2006/relationships/hyperlink" Target="https://es.wikipedia.org/wiki/Presidente_del_Per%C3%BA" TargetMode="External"/><Relationship Id="rId10" Type="http://schemas.openxmlformats.org/officeDocument/2006/relationships/hyperlink" Target="https://www.gob.mx/segob/prensa/se-presenta-informe-sobre-situacion-legal-de-personas-procesadas-por-caso-ayotzinapa-216112" TargetMode="External"/><Relationship Id="rId32" Type="http://schemas.openxmlformats.org/officeDocument/2006/relationships/hyperlink" Target="https://es.wikipedia.org/wiki/Elecciones_generales_de_Per%C3%BA_de_2021" TargetMode="External"/><Relationship Id="rId13" Type="http://schemas.openxmlformats.org/officeDocument/2006/relationships/header" Target="header2.xml"/><Relationship Id="rId35" Type="http://schemas.openxmlformats.org/officeDocument/2006/relationships/hyperlink" Target="https://es.wikipedia.org/wiki/Santuario_hist%C3%B3rico_de_la_Pampa_de_Ayacucho" TargetMode="External"/><Relationship Id="rId12" Type="http://schemas.openxmlformats.org/officeDocument/2006/relationships/hyperlink" Target="http://cnnespanol.cnn.com/video/ayotzinapa-reunion-fiscalia-general-investigacion-gertz-karam-pkg-krupskaia-alis-perspectivas-mexico/" TargetMode="External"/><Relationship Id="rId34" Type="http://schemas.openxmlformats.org/officeDocument/2006/relationships/hyperlink" Target="https://es.wikipedia.org/wiki/Congreso_de_la_Rep%C3%BAblica_del_Per%C3%BA" TargetMode="External"/><Relationship Id="rId15" Type="http://schemas.openxmlformats.org/officeDocument/2006/relationships/header" Target="header3.xml"/><Relationship Id="rId37" Type="http://schemas.openxmlformats.org/officeDocument/2006/relationships/hyperlink" Target="https://es.wikipedia.org/wiki/Anexo:Gabinete_de_Pedro_Castillo#Gabinete_Bellido" TargetMode="External"/><Relationship Id="rId14" Type="http://schemas.openxmlformats.org/officeDocument/2006/relationships/header" Target="header1.xml"/><Relationship Id="rId36" Type="http://schemas.openxmlformats.org/officeDocument/2006/relationships/hyperlink" Target="https://es.wikipedia.org/wiki/Guido_Bellido" TargetMode="External"/><Relationship Id="rId17" Type="http://schemas.openxmlformats.org/officeDocument/2006/relationships/hyperlink" Target="https://es.wikipedia.org/wiki/Abigeato" TargetMode="External"/><Relationship Id="rId39" Type="http://schemas.openxmlformats.org/officeDocument/2006/relationships/hyperlink" Target="https://es.wikipedia.org/wiki/Constituci%C3%B3n_Pol%C3%ADtica_del_Per%C3%BA_de_1993" TargetMode="External"/><Relationship Id="rId16" Type="http://schemas.openxmlformats.org/officeDocument/2006/relationships/hyperlink" Target="https://es.wikipedia.org/wiki/Rondas_campesinas" TargetMode="External"/><Relationship Id="rId38" Type="http://schemas.openxmlformats.org/officeDocument/2006/relationships/hyperlink" Target="https://es.wikipedia.org/wiki/Asamblea_constituyente" TargetMode="External"/><Relationship Id="rId19" Type="http://schemas.openxmlformats.org/officeDocument/2006/relationships/hyperlink" Target="https://es.wikipedia.org/wiki/Presidente_del_Per%C3%BA" TargetMode="External"/><Relationship Id="rId18" Type="http://schemas.openxmlformats.org/officeDocument/2006/relationships/hyperlink" Target="https://es.wikipedia.org/wiki/Huelga_magisterial_del_Per%C3%BA_de_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