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jc w:val="both"/>
        <w:rPr>
          <w:rFonts w:ascii="Arial" w:cs="Arial" w:eastAsia="Arial" w:hAnsi="Arial"/>
          <w:b w:val="1"/>
          <w:sz w:val="32"/>
          <w:szCs w:val="32"/>
        </w:rPr>
      </w:pPr>
      <w:bookmarkStart w:colFirst="0" w:colLast="0" w:name="_gjdgxs" w:id="0"/>
      <w:bookmarkEnd w:id="0"/>
      <w:r w:rsidDel="00000000" w:rsidR="00000000" w:rsidRPr="00000000">
        <w:rPr>
          <w:rFonts w:ascii="Arial" w:cs="Arial" w:eastAsia="Arial" w:hAnsi="Arial"/>
          <w:b w:val="1"/>
          <w:sz w:val="32"/>
          <w:szCs w:val="32"/>
          <w:rtl w:val="0"/>
        </w:rPr>
        <w:t xml:space="preserve">Capital, Estado y Democracia</w:t>
      </w:r>
    </w:p>
    <w:p w:rsidR="00000000" w:rsidDel="00000000" w:rsidP="00000000" w:rsidRDefault="00000000" w:rsidRPr="00000000" w14:paraId="00000002">
      <w:pPr>
        <w:spacing w:after="0" w:line="276" w:lineRule="auto"/>
        <w:jc w:val="both"/>
        <w:rPr>
          <w:rFonts w:ascii="Arial" w:cs="Arial" w:eastAsia="Arial" w:hAnsi="Arial"/>
          <w:sz w:val="32"/>
          <w:szCs w:val="32"/>
        </w:rPr>
      </w:pPr>
      <w:r w:rsidDel="00000000" w:rsidR="00000000" w:rsidRPr="00000000">
        <w:rPr>
          <w:rFonts w:ascii="Arial" w:cs="Arial" w:eastAsia="Arial" w:hAnsi="Arial"/>
          <w:sz w:val="32"/>
          <w:szCs w:val="32"/>
          <w:rtl w:val="0"/>
        </w:rPr>
        <w:t xml:space="preserve">Entre pandemia, guerras y capitalismo 4.0</w:t>
      </w:r>
    </w:p>
    <w:p w:rsidR="00000000" w:rsidDel="00000000" w:rsidP="00000000" w:rsidRDefault="00000000" w:rsidRPr="00000000" w14:paraId="00000003">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Matías Caciabue</w:t>
      </w:r>
    </w:p>
    <w:p w:rsidR="00000000" w:rsidDel="00000000" w:rsidP="00000000" w:rsidRDefault="00000000" w:rsidRPr="00000000" w14:paraId="00000005">
      <w:pP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7">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Nos hemos acostumbrado a escuchar, a través de nuestras múltiples pantallas, que los grandes millonarios afirman que el mundo cambió para siempre. En octubre de 2021, Mark Zuckerberg, relanzó su empresa como </w:t>
      </w:r>
      <w:r w:rsidDel="00000000" w:rsidR="00000000" w:rsidRPr="00000000">
        <w:rPr>
          <w:rFonts w:ascii="Arial" w:cs="Arial" w:eastAsia="Arial" w:hAnsi="Arial"/>
          <w:i w:val="1"/>
          <w:sz w:val="24"/>
          <w:szCs w:val="24"/>
          <w:rtl w:val="0"/>
        </w:rPr>
        <w:t xml:space="preserve">Meta</w:t>
      </w:r>
      <w:r w:rsidDel="00000000" w:rsidR="00000000" w:rsidRPr="00000000">
        <w:rPr>
          <w:rFonts w:ascii="Arial" w:cs="Arial" w:eastAsia="Arial" w:hAnsi="Arial"/>
          <w:sz w:val="24"/>
          <w:szCs w:val="24"/>
          <w:rtl w:val="0"/>
        </w:rPr>
        <w:t xml:space="preserve">, para proyectar su multiplataforma –</w:t>
      </w:r>
      <w:r w:rsidDel="00000000" w:rsidR="00000000" w:rsidRPr="00000000">
        <w:rPr>
          <w:rFonts w:ascii="Arial" w:cs="Arial" w:eastAsia="Arial" w:hAnsi="Arial"/>
          <w:i w:val="1"/>
          <w:sz w:val="24"/>
          <w:szCs w:val="24"/>
          <w:rtl w:val="0"/>
        </w:rPr>
        <w:t xml:space="preserve">Facebook</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Instagram</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Whatsapp</w:t>
      </w:r>
      <w:r w:rsidDel="00000000" w:rsidR="00000000" w:rsidRPr="00000000">
        <w:rPr>
          <w:rFonts w:ascii="Arial" w:cs="Arial" w:eastAsia="Arial" w:hAnsi="Arial"/>
          <w:sz w:val="24"/>
          <w:szCs w:val="24"/>
          <w:rtl w:val="0"/>
        </w:rPr>
        <w:t xml:space="preserve">- como un conglomerado de servicios digitales cuyo desarrollo implicará una “internet encarnada”, con avatares digitales en espacios 3D.</w:t>
      </w:r>
    </w:p>
    <w:p w:rsidR="00000000" w:rsidDel="00000000" w:rsidP="00000000" w:rsidRDefault="00000000" w:rsidRPr="00000000" w14:paraId="00000008">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par de meses antes, en agosto de 2021, Elon Musk, el CEO de </w:t>
      </w:r>
      <w:r w:rsidDel="00000000" w:rsidR="00000000" w:rsidRPr="00000000">
        <w:rPr>
          <w:rFonts w:ascii="Arial" w:cs="Arial" w:eastAsia="Arial" w:hAnsi="Arial"/>
          <w:i w:val="1"/>
          <w:sz w:val="24"/>
          <w:szCs w:val="24"/>
          <w:rtl w:val="0"/>
        </w:rPr>
        <w:t xml:space="preserve">Tesla</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i w:val="1"/>
          <w:sz w:val="24"/>
          <w:szCs w:val="24"/>
          <w:rtl w:val="0"/>
        </w:rPr>
        <w:t xml:space="preserve">SpaceX</w:t>
      </w:r>
      <w:r w:rsidDel="00000000" w:rsidR="00000000" w:rsidRPr="00000000">
        <w:rPr>
          <w:rFonts w:ascii="Arial" w:cs="Arial" w:eastAsia="Arial" w:hAnsi="Arial"/>
          <w:sz w:val="24"/>
          <w:szCs w:val="24"/>
          <w:rtl w:val="0"/>
        </w:rPr>
        <w:t xml:space="preserve">, proyectó a </w:t>
      </w:r>
      <w:r w:rsidDel="00000000" w:rsidR="00000000" w:rsidRPr="00000000">
        <w:rPr>
          <w:rFonts w:ascii="Arial" w:cs="Arial" w:eastAsia="Arial" w:hAnsi="Arial"/>
          <w:i w:val="1"/>
          <w:sz w:val="24"/>
          <w:szCs w:val="24"/>
          <w:rtl w:val="0"/>
        </w:rPr>
        <w:t xml:space="preserve">Starbase</w:t>
      </w:r>
      <w:r w:rsidDel="00000000" w:rsidR="00000000" w:rsidRPr="00000000">
        <w:rPr>
          <w:rFonts w:ascii="Arial" w:cs="Arial" w:eastAsia="Arial" w:hAnsi="Arial"/>
          <w:sz w:val="24"/>
          <w:szCs w:val="24"/>
          <w:rtl w:val="0"/>
        </w:rPr>
        <w:t xml:space="preserve">, una “ciudad del futuro, desde donde viajar a Marte”, mientras Larry Fink, el CEO del poderoso Fondo Financiero de Inversión Global </w:t>
      </w:r>
      <w:r w:rsidDel="00000000" w:rsidR="00000000" w:rsidRPr="00000000">
        <w:rPr>
          <w:rFonts w:ascii="Arial" w:cs="Arial" w:eastAsia="Arial" w:hAnsi="Arial"/>
          <w:i w:val="1"/>
          <w:sz w:val="24"/>
          <w:szCs w:val="24"/>
          <w:rtl w:val="0"/>
        </w:rPr>
        <w:t xml:space="preserve">BlackRock</w:t>
      </w:r>
      <w:r w:rsidDel="00000000" w:rsidR="00000000" w:rsidRPr="00000000">
        <w:rPr>
          <w:rFonts w:ascii="Arial" w:cs="Arial" w:eastAsia="Arial" w:hAnsi="Arial"/>
          <w:sz w:val="24"/>
          <w:szCs w:val="24"/>
          <w:rtl w:val="0"/>
        </w:rPr>
        <w:t xml:space="preserve">, nos advierte que el cambio climático traerá una “remodelación fundamental de las finanzas”.</w:t>
      </w:r>
    </w:p>
    <w:p w:rsidR="00000000" w:rsidDel="00000000" w:rsidP="00000000" w:rsidRDefault="00000000" w:rsidRPr="00000000" w14:paraId="00000009">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crisis financiera norteamericana, desatada a partir del escándalo de las hipotecas “subprime” a finales de 2007, que determinaron la caída del banco </w:t>
      </w:r>
      <w:r w:rsidDel="00000000" w:rsidR="00000000" w:rsidRPr="00000000">
        <w:rPr>
          <w:rFonts w:ascii="Arial" w:cs="Arial" w:eastAsia="Arial" w:hAnsi="Arial"/>
          <w:i w:val="1"/>
          <w:sz w:val="24"/>
          <w:szCs w:val="24"/>
          <w:rtl w:val="0"/>
        </w:rPr>
        <w:t xml:space="preserve">Lehman Brothers</w:t>
      </w:r>
      <w:r w:rsidDel="00000000" w:rsidR="00000000" w:rsidRPr="00000000">
        <w:rPr>
          <w:rFonts w:ascii="Arial" w:cs="Arial" w:eastAsia="Arial" w:hAnsi="Arial"/>
          <w:sz w:val="24"/>
          <w:szCs w:val="24"/>
          <w:rtl w:val="0"/>
        </w:rPr>
        <w:t xml:space="preserve"> en septiembre de 2008, dio comienzo a una recesión económica global que se profundizó con la crisis europea de los </w:t>
      </w:r>
      <w:r w:rsidDel="00000000" w:rsidR="00000000" w:rsidRPr="00000000">
        <w:rPr>
          <w:rFonts w:ascii="Arial" w:cs="Arial" w:eastAsia="Arial" w:hAnsi="Arial"/>
          <w:i w:val="1"/>
          <w:sz w:val="24"/>
          <w:szCs w:val="24"/>
          <w:rtl w:val="0"/>
        </w:rPr>
        <w:t xml:space="preserve">PIIGS</w:t>
      </w:r>
      <w:r w:rsidDel="00000000" w:rsidR="00000000" w:rsidRPr="00000000">
        <w:rPr>
          <w:rFonts w:ascii="Arial" w:cs="Arial" w:eastAsia="Arial" w:hAnsi="Arial"/>
          <w:sz w:val="24"/>
          <w:szCs w:val="24"/>
          <w:rtl w:val="0"/>
        </w:rPr>
        <w:t xml:space="preserve"> (Portugal, Irlanda, Italia, Grecia y España) de los años 2009 y 2012. El rescate selectivo de ciertos bancos, con fondos públicos de los países centrales, dieron la señal de que detrás de esta crisis económica, como en las otras acontecidas en la historia del capitalismo, se esconde un feroz proceso de concentración y centralización del capital.</w:t>
      </w:r>
    </w:p>
    <w:p w:rsidR="00000000" w:rsidDel="00000000" w:rsidP="00000000" w:rsidRDefault="00000000" w:rsidRPr="00000000" w14:paraId="0000000A">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crisis golpeó sobre el tercer mundo hacia 2013, con una paulatina pero constante caída general del precio internacional de las commodities alimentarias, energéticas y mineras, gravitantes en todas las economías de Latinoamérica, donde el capitalismo transnacionalizado puja por estructurar un neocolonialismo con enclaves, incluso transfronterizos, de base de ciertas cadenas de valor global. </w:t>
      </w:r>
    </w:p>
    <w:p w:rsidR="00000000" w:rsidDel="00000000" w:rsidP="00000000" w:rsidRDefault="00000000" w:rsidRPr="00000000" w14:paraId="0000000B">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Ese fue el factor estructural que aparece detrás de las llamadas “Primaveras Árabes” de 2010-2012, la Guerra en Siria desde 2012 y la emergencia del ISIS en Oriente Medio y África, donde se suma la guerra francesa y europea contra el grupo Al Qaeda del Magreb o AQMI en el llamado G-5 del Sahel (Burkina Faso, Chad, Mali, Mauritania y Níger), fenómenos de una guerra mercenaria global, la “Revolución Naranja” de 2004-2005 y el “Euromaidán” de 2013 en Ucrania y la consiguiente anexión de Crimea y el inicio de la Guerra en el Donbass en 2014.</w:t>
      </w:r>
    </w:p>
    <w:p w:rsidR="00000000" w:rsidDel="00000000" w:rsidP="00000000" w:rsidRDefault="00000000" w:rsidRPr="00000000" w14:paraId="0000000C">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 América Latina, el factor estructural de baja en las commodities es una gran variable, en un escenario multicausal, que tensionó a los gobiernos de signo progresista del ciclo 1999-2016, y explica el condicionamiento posterior que los países de la región vivieron desde el “giro estratégico” de Barrack Obama en 2011, que señaló a China, y lo que expresa en términos tecnológicos, económicos, sociales, políticos y militares, como la “nueva amenaza”, global y hemisférica; y la llegada de Donald Trump y la reacción neoconservadora a la Casa Blanca en 2016</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D">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Todo este proceso, de conjunto promovió una reorientación de las inversiones, un enorme direccionamiento de capital-dinero hacia determinados sectores de la economía que marcaron un brusco cambio en la llamada composición orgánica del capital global, donde la forma transnacional del capital consolidó su hegemonía sobre el conjunto del sistema económico mundial a partir de fusionar e integrar en su circuito de producción de plusvalor a las ramas industriales intensivas en conocimiento, o “conocimiento-intensivas”, particularmente con todo el sector de las tecnologías de la información y la comunicación (TIC´s).</w:t>
      </w:r>
    </w:p>
    <w:p w:rsidR="00000000" w:rsidDel="00000000" w:rsidP="00000000" w:rsidRDefault="00000000" w:rsidRPr="00000000" w14:paraId="0000000E">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proceso se gestó en un lapso temporal tan breve que Klaus Schwab, Presidente del Foro Económico Mundial, la ONG internacional que año a año reúne en Davos a la verdadera “casta” empresarial global junto a políticos, periodistas e intelectuales selectos, tuvo que salir a definirla como </w:t>
      </w:r>
      <w:r w:rsidDel="00000000" w:rsidR="00000000" w:rsidRPr="00000000">
        <w:rPr>
          <w:rFonts w:ascii="Arial" w:cs="Arial" w:eastAsia="Arial" w:hAnsi="Arial"/>
          <w:i w:val="1"/>
          <w:sz w:val="24"/>
          <w:szCs w:val="24"/>
          <w:rtl w:val="0"/>
        </w:rPr>
        <w:t xml:space="preserve">La Cuarta Revolución Industrial</w:t>
      </w:r>
      <w:r w:rsidDel="00000000" w:rsidR="00000000" w:rsidRPr="00000000">
        <w:rPr>
          <w:rFonts w:ascii="Arial" w:cs="Arial" w:eastAsia="Arial" w:hAnsi="Arial"/>
          <w:sz w:val="24"/>
          <w:szCs w:val="24"/>
          <w:rtl w:val="0"/>
        </w:rPr>
        <w:t xml:space="preserve"> (2016).</w:t>
      </w:r>
    </w:p>
    <w:p w:rsidR="00000000" w:rsidDel="00000000" w:rsidP="00000000" w:rsidRDefault="00000000" w:rsidRPr="00000000" w14:paraId="0000000F">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Estos mismos milmillonarios la denominan “transición tecnológica, climática y socioeconómica”. Nadie puede negar que esta “transición”, o “salto”, proviene de ese vertiginoso desarrollo de las fuerzas productivas de la revolución tecnológica en ciernes y en el sorprendente salto en la composición orgánica del capital que permite la digitalización, virtualización y automatización de procesos económicos.</w:t>
      </w:r>
    </w:p>
    <w:p w:rsidR="00000000" w:rsidDel="00000000" w:rsidP="00000000" w:rsidRDefault="00000000" w:rsidRPr="00000000" w14:paraId="00000010">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pocas palabras, las transformaciones radicales que están aconteciendo en la base económica de la sociedad están abriendo un marco de crisis en las formas de organización social. Un cambio vertiginoso en las fuerzas productivas, que crean la riqueza, está transformando las relaciones sociales de producción de la vida, tanto en el plano económico, como político y social. Es, entonces, desde allí que se puede sostener un cambio de fase en el modo de producción capitalista.</w:t>
      </w:r>
    </w:p>
    <w:p w:rsidR="00000000" w:rsidDel="00000000" w:rsidP="00000000" w:rsidRDefault="00000000" w:rsidRPr="00000000" w14:paraId="00000011">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los tiempos que corren, se hace observable cómo un entramado financiero y tecnológico configura un sistema basado en la posesión, control y/o direccionamiento del dinero bursátil hacia la transformación digital de la economía, incorporando elementos de la hiperconectividad 5G y 6G, los sistemas ciber-físicos, la robótica colaborativa y sensitiva, la inteligencia artificial, la industria aeroespacial, la transición energética, la nano y biotecnología, y la agricultura tecnológica o AgTech, etc. </w:t>
      </w:r>
    </w:p>
    <w:p w:rsidR="00000000" w:rsidDel="00000000" w:rsidP="00000000" w:rsidRDefault="00000000" w:rsidRPr="00000000" w14:paraId="00000012">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Todos estos desarrollos son determinantes a la hora de definir quién conforma la fracción de capital que acumula y ostenta el poder económico en el ya entrado siglo XXI. Poder económico que también exige dominio político-militar y hegemonía político-social.</w:t>
      </w:r>
    </w:p>
    <w:p w:rsidR="00000000" w:rsidDel="00000000" w:rsidP="00000000" w:rsidRDefault="00000000" w:rsidRPr="00000000" w14:paraId="00000013">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Fondos Financieros de Inversión Global (FFIG), articulados en una compleja red financiera, detentan el control, vía manejo de bonos y acciones, de los sectores estratégicos de la economía mundial, particularmente los “conocimiento-intensivos”, lo que les permite concentrar y centralizar la mayor tajada de una plusvalía mundializada. </w:t>
      </w:r>
    </w:p>
    <w:p w:rsidR="00000000" w:rsidDel="00000000" w:rsidP="00000000" w:rsidRDefault="00000000" w:rsidRPr="00000000" w14:paraId="00000014">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el divulgador en temas bursátiles Andrés Llorente (2020), tres grandes FFIG, </w:t>
      </w:r>
      <w:r w:rsidDel="00000000" w:rsidR="00000000" w:rsidRPr="00000000">
        <w:rPr>
          <w:rFonts w:ascii="Arial" w:cs="Arial" w:eastAsia="Arial" w:hAnsi="Arial"/>
          <w:i w:val="1"/>
          <w:sz w:val="24"/>
          <w:szCs w:val="24"/>
          <w:rtl w:val="0"/>
        </w:rPr>
        <w:t xml:space="preserve">BlackRock</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State Street</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i w:val="1"/>
          <w:sz w:val="24"/>
          <w:szCs w:val="24"/>
          <w:rtl w:val="0"/>
        </w:rPr>
        <w:t xml:space="preserve">Vanguard</w:t>
      </w:r>
      <w:r w:rsidDel="00000000" w:rsidR="00000000" w:rsidRPr="00000000">
        <w:rPr>
          <w:rFonts w:ascii="Arial" w:cs="Arial" w:eastAsia="Arial" w:hAnsi="Arial"/>
          <w:sz w:val="24"/>
          <w:szCs w:val="24"/>
          <w:rtl w:val="0"/>
        </w:rPr>
        <w:t xml:space="preserve">, representan en su conjunto un 19,81% del índice bursátil industrial (Dow Jones) en Wall Street. El estudio demuestra, a su vez, la presencia de cada uno de estos fondos, en proporciones similares, en las principales compañías de sectores estratégicos de la industria mundial, y en 28 de las 30 principales empresas del </w:t>
      </w:r>
      <w:r w:rsidDel="00000000" w:rsidR="00000000" w:rsidRPr="00000000">
        <w:rPr>
          <w:rFonts w:ascii="Arial" w:cs="Arial" w:eastAsia="Arial" w:hAnsi="Arial"/>
          <w:i w:val="1"/>
          <w:sz w:val="24"/>
          <w:szCs w:val="24"/>
          <w:rtl w:val="0"/>
        </w:rPr>
        <w:t xml:space="preserve">índice S&amp;P 500</w:t>
      </w:r>
      <w:r w:rsidDel="00000000" w:rsidR="00000000" w:rsidRPr="00000000">
        <w:rPr>
          <w:rFonts w:ascii="Arial" w:cs="Arial" w:eastAsia="Arial" w:hAnsi="Arial"/>
          <w:sz w:val="24"/>
          <w:szCs w:val="24"/>
          <w:rtl w:val="0"/>
        </w:rPr>
        <w:t xml:space="preserve">, estos tres fondos son los primeros accionistas.</w:t>
      </w:r>
    </w:p>
    <w:p w:rsidR="00000000" w:rsidDel="00000000" w:rsidP="00000000" w:rsidRDefault="00000000" w:rsidRPr="00000000" w14:paraId="00000015">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sectores productivos estratégicos de una economía transnacionalizada se articulan en cadenas de valor global, siempre transversalizado por el gran capital financiero, estructurado ahora como Fondos Financieros de Inversión Global, que licúan la fusión de la banca comercial, que sirve para captar directamente el producto del plustrabajo, el plusvalor social, con la banca de inversión, que se reorienta hacia los sectores más dinámicos de la producción, circulación y apropiación de ese mismo plusvalor.</w:t>
      </w:r>
    </w:p>
    <w:p w:rsidR="00000000" w:rsidDel="00000000" w:rsidP="00000000" w:rsidRDefault="00000000" w:rsidRPr="00000000" w14:paraId="00000016">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7">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8">
      <w:pPr>
        <w:shd w:fill="ffffff" w:val="clea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Transformaciones en el polo del Capital: La emergencia de una aristocracia financiera y tecnológica</w:t>
      </w:r>
    </w:p>
    <w:p w:rsidR="00000000" w:rsidDel="00000000" w:rsidP="00000000" w:rsidRDefault="00000000" w:rsidRPr="00000000" w14:paraId="00000019">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A">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aparición de determinados intereses y relaciones de clase implica, indudablemente, la emergencia de nuevas personificaciones sociales. Cabe preguntarse entonces cuáles son las que estas transformaciones contemporáneas han traído aparejadas.</w:t>
      </w:r>
    </w:p>
    <w:p w:rsidR="00000000" w:rsidDel="00000000" w:rsidP="00000000" w:rsidRDefault="00000000" w:rsidRPr="00000000" w14:paraId="0000001B">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como la fusión del capital industrial con el capital bancario edificaron la oligarquía financiera descrita por Lenin en 1916, la fusión del gran capital financiero con el capital tecnológico da lugar a la emergencia de una </w:t>
      </w:r>
      <w:r w:rsidDel="00000000" w:rsidR="00000000" w:rsidRPr="00000000">
        <w:rPr>
          <w:rFonts w:ascii="Arial" w:cs="Arial" w:eastAsia="Arial" w:hAnsi="Arial"/>
          <w:i w:val="1"/>
          <w:sz w:val="24"/>
          <w:szCs w:val="24"/>
          <w:rtl w:val="0"/>
        </w:rPr>
        <w:t xml:space="preserve">Aristocracia Financiera y Tecnológica </w:t>
      </w:r>
      <w:r w:rsidDel="00000000" w:rsidR="00000000" w:rsidRPr="00000000">
        <w:rPr>
          <w:rFonts w:ascii="Arial" w:cs="Arial" w:eastAsia="Arial" w:hAnsi="Arial"/>
          <w:sz w:val="24"/>
          <w:szCs w:val="24"/>
          <w:rtl w:val="0"/>
        </w:rPr>
        <w:t xml:space="preserve">(AFyT), con capacidad de controlar la economía mundial por encima de los Estados.</w:t>
      </w:r>
    </w:p>
    <w:p w:rsidR="00000000" w:rsidDel="00000000" w:rsidP="00000000" w:rsidRDefault="00000000" w:rsidRPr="00000000" w14:paraId="0000001C">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 célebre paper, que ya tiene sus años, Stefano Battiston (2011), profesor del departamento de banca y finanzas de la Universidad Politécnica de Zürich, determinó la existencia de una red global de control corporativo donde 737 grupos económicos controlan el 80% de la red corporativa global, sobre una base de datos de 30 millones de empresas de todo el planeta. Si ese número se reduce a las 147 corporaciones más importantes, estas alcanzan el 40% del control corporativo del mundo.</w:t>
      </w:r>
    </w:p>
    <w:p w:rsidR="00000000" w:rsidDel="00000000" w:rsidP="00000000" w:rsidRDefault="00000000" w:rsidRPr="00000000" w14:paraId="0000001D">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un estudio complementario al de Battiston, Peter Phillips, en su libro </w:t>
      </w:r>
      <w:r w:rsidDel="00000000" w:rsidR="00000000" w:rsidRPr="00000000">
        <w:rPr>
          <w:rFonts w:ascii="Arial" w:cs="Arial" w:eastAsia="Arial" w:hAnsi="Arial"/>
          <w:i w:val="1"/>
          <w:sz w:val="24"/>
          <w:szCs w:val="24"/>
          <w:rtl w:val="0"/>
        </w:rPr>
        <w:t xml:space="preserve">Megacapitalistas </w:t>
      </w:r>
      <w:r w:rsidDel="00000000" w:rsidR="00000000" w:rsidRPr="00000000">
        <w:rPr>
          <w:rFonts w:ascii="Arial" w:cs="Arial" w:eastAsia="Arial" w:hAnsi="Arial"/>
          <w:sz w:val="24"/>
          <w:szCs w:val="24"/>
          <w:rtl w:val="0"/>
        </w:rPr>
        <w:t xml:space="preserve">(2019), indica que 17 entidades gestionaban en el año 2017 el total de 41,1 billones de dólares en activos financieros. Según el autor, estas 17 compañías están en manos de apenas 199 directores en sus consejos de administración, de los cuales el 70% son hombres, el 84% son blancos y “ciento diecisiete (el 59%) son estadounidenses; hay veintidós británicos y el mismo número de franceses; trece alemanes y trece suizos; tres representantes de Italia, Singapur, la India, Austria y Australia, dos de Japón y de Brasil, y uno de Sudáfrica, Países Bajos, Zambia, Kuwait, Bélgica, Canadá, México, Catar y Colombia” (Phillips, 2019)</w:t>
      </w:r>
      <w:r w:rsidDel="00000000" w:rsidR="00000000" w:rsidRPr="00000000">
        <w:rPr>
          <w:rFonts w:ascii="Arial" w:cs="Arial" w:eastAsia="Arial" w:hAnsi="Arial"/>
          <w:sz w:val="24"/>
          <w:szCs w:val="24"/>
          <w:vertAlign w:val="superscript"/>
        </w:rPr>
        <w:footnoteReference w:customMarkFollows="0" w:id="0"/>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E">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Pareciera que, tras la crisis de 2008, estos grandes actores financieros, que invierten los unos en los otros, mudaron su cartera de inversiones hacia los segmentos industriales intensivos en conocimiento. Por eso, estos grandes fondos se encuentran detrás de las principales compañías tecnológicas del mundo, que han registrado un crecimiento exponencial a partir del 2008, y constituyen hoy en día el vértice central de la concentración y la centralización de riquezas transnacionalizadas, y en el eje –como veremos más adelante- en donde se desarrolla la contradicción principal de la disputa intercapitalista.</w:t>
      </w:r>
    </w:p>
    <w:p w:rsidR="00000000" w:rsidDel="00000000" w:rsidP="00000000" w:rsidRDefault="00000000" w:rsidRPr="00000000" w14:paraId="0000001F">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Hace poco más de diez años atrás, la lista de las cinco empresas más grandes del mundo, según capitalización del mercado, eran Microsoft, Exxon Mobil, General Electric, Citigroup y Shell Oil. De esas, solo persiste Microsoft. Las otras cuatro fueron reemplazadas por Apple, Alphabet (empresa matriz de Google), Amazon y Facebook-Meta.</w:t>
      </w:r>
    </w:p>
    <w:p w:rsidR="00000000" w:rsidDel="00000000" w:rsidP="00000000" w:rsidRDefault="00000000" w:rsidRPr="00000000" w14:paraId="00000020">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2021, en el </w:t>
      </w:r>
      <w:r w:rsidDel="00000000" w:rsidR="00000000" w:rsidRPr="00000000">
        <w:rPr>
          <w:rFonts w:ascii="Arial" w:cs="Arial" w:eastAsia="Arial" w:hAnsi="Arial"/>
          <w:i w:val="1"/>
          <w:sz w:val="24"/>
          <w:szCs w:val="24"/>
          <w:rtl w:val="0"/>
        </w:rPr>
        <w:t xml:space="preserve">Top 15 </w:t>
      </w:r>
      <w:r w:rsidDel="00000000" w:rsidR="00000000" w:rsidRPr="00000000">
        <w:rPr>
          <w:rFonts w:ascii="Arial" w:cs="Arial" w:eastAsia="Arial" w:hAnsi="Arial"/>
          <w:sz w:val="24"/>
          <w:szCs w:val="24"/>
          <w:rtl w:val="0"/>
        </w:rPr>
        <w:t xml:space="preserve">del ranking de empresas por valor en bolsa hay nueve tecnológicas (</w:t>
      </w:r>
      <w:r w:rsidDel="00000000" w:rsidR="00000000" w:rsidRPr="00000000">
        <w:rPr>
          <w:rFonts w:ascii="Arial" w:cs="Arial" w:eastAsia="Arial" w:hAnsi="Arial"/>
          <w:i w:val="1"/>
          <w:sz w:val="24"/>
          <w:szCs w:val="24"/>
          <w:rtl w:val="0"/>
        </w:rPr>
        <w:t xml:space="preserve">Apple, Microsoft, Alphabet-Google, Amazon, Meta-Facebook, Nvidia, Taiwan Semiconductores-TSMC </w:t>
      </w:r>
      <w:r w:rsidDel="00000000" w:rsidR="00000000" w:rsidRPr="00000000">
        <w:rPr>
          <w:rFonts w:ascii="Arial" w:cs="Arial" w:eastAsia="Arial" w:hAnsi="Arial"/>
          <w:sz w:val="24"/>
          <w:szCs w:val="24"/>
          <w:rtl w:val="0"/>
        </w:rPr>
        <w:t xml:space="preserve">y</w:t>
      </w:r>
      <w:r w:rsidDel="00000000" w:rsidR="00000000" w:rsidRPr="00000000">
        <w:rPr>
          <w:rFonts w:ascii="Arial" w:cs="Arial" w:eastAsia="Arial" w:hAnsi="Arial"/>
          <w:i w:val="1"/>
          <w:sz w:val="24"/>
          <w:szCs w:val="24"/>
          <w:rtl w:val="0"/>
        </w:rPr>
        <w:t xml:space="preserve"> Tencent</w:t>
      </w:r>
      <w:r w:rsidDel="00000000" w:rsidR="00000000" w:rsidRPr="00000000">
        <w:rPr>
          <w:rFonts w:ascii="Arial" w:cs="Arial" w:eastAsia="Arial" w:hAnsi="Arial"/>
          <w:sz w:val="24"/>
          <w:szCs w:val="24"/>
          <w:rtl w:val="0"/>
        </w:rPr>
        <w:t xml:space="preserve">), una petrolera (</w:t>
      </w:r>
      <w:r w:rsidDel="00000000" w:rsidR="00000000" w:rsidRPr="00000000">
        <w:rPr>
          <w:rFonts w:ascii="Arial" w:cs="Arial" w:eastAsia="Arial" w:hAnsi="Arial"/>
          <w:i w:val="1"/>
          <w:sz w:val="24"/>
          <w:szCs w:val="24"/>
          <w:rtl w:val="0"/>
        </w:rPr>
        <w:t xml:space="preserve">Aramco</w:t>
      </w:r>
      <w:r w:rsidDel="00000000" w:rsidR="00000000" w:rsidRPr="00000000">
        <w:rPr>
          <w:rFonts w:ascii="Arial" w:cs="Arial" w:eastAsia="Arial" w:hAnsi="Arial"/>
          <w:sz w:val="24"/>
          <w:szCs w:val="24"/>
          <w:rtl w:val="0"/>
        </w:rPr>
        <w:t xml:space="preserve">, la proveedora global saudí), una automotriz (</w:t>
      </w:r>
      <w:r w:rsidDel="00000000" w:rsidR="00000000" w:rsidRPr="00000000">
        <w:rPr>
          <w:rFonts w:ascii="Arial" w:cs="Arial" w:eastAsia="Arial" w:hAnsi="Arial"/>
          <w:i w:val="1"/>
          <w:sz w:val="24"/>
          <w:szCs w:val="24"/>
          <w:rtl w:val="0"/>
        </w:rPr>
        <w:t xml:space="preserve">Tesla</w:t>
      </w:r>
      <w:r w:rsidDel="00000000" w:rsidR="00000000" w:rsidRPr="00000000">
        <w:rPr>
          <w:rFonts w:ascii="Arial" w:cs="Arial" w:eastAsia="Arial" w:hAnsi="Arial"/>
          <w:sz w:val="24"/>
          <w:szCs w:val="24"/>
          <w:rtl w:val="0"/>
        </w:rPr>
        <w:t xml:space="preserve">), dos de finanzas (</w:t>
      </w:r>
      <w:r w:rsidDel="00000000" w:rsidR="00000000" w:rsidRPr="00000000">
        <w:rPr>
          <w:rFonts w:ascii="Arial" w:cs="Arial" w:eastAsia="Arial" w:hAnsi="Arial"/>
          <w:i w:val="1"/>
          <w:sz w:val="24"/>
          <w:szCs w:val="24"/>
          <w:rtl w:val="0"/>
        </w:rPr>
        <w:t xml:space="preserve">Berckshire </w:t>
      </w:r>
      <w:r w:rsidDel="00000000" w:rsidR="00000000" w:rsidRPr="00000000">
        <w:rPr>
          <w:rFonts w:ascii="Arial" w:cs="Arial" w:eastAsia="Arial" w:hAnsi="Arial"/>
          <w:sz w:val="24"/>
          <w:szCs w:val="24"/>
          <w:rtl w:val="0"/>
        </w:rPr>
        <w:t xml:space="preserve">y </w:t>
      </w:r>
      <w:r w:rsidDel="00000000" w:rsidR="00000000" w:rsidRPr="00000000">
        <w:rPr>
          <w:rFonts w:ascii="Arial" w:cs="Arial" w:eastAsia="Arial" w:hAnsi="Arial"/>
          <w:i w:val="1"/>
          <w:sz w:val="24"/>
          <w:szCs w:val="24"/>
          <w:rtl w:val="0"/>
        </w:rPr>
        <w:t xml:space="preserve">JP Morgan</w:t>
      </w:r>
      <w:r w:rsidDel="00000000" w:rsidR="00000000" w:rsidRPr="00000000">
        <w:rPr>
          <w:rFonts w:ascii="Arial" w:cs="Arial" w:eastAsia="Arial" w:hAnsi="Arial"/>
          <w:sz w:val="24"/>
          <w:szCs w:val="24"/>
          <w:rtl w:val="0"/>
        </w:rPr>
        <w:t xml:space="preserve">) y una de salud (</w:t>
      </w:r>
      <w:r w:rsidDel="00000000" w:rsidR="00000000" w:rsidRPr="00000000">
        <w:rPr>
          <w:rFonts w:ascii="Arial" w:cs="Arial" w:eastAsia="Arial" w:hAnsi="Arial"/>
          <w:i w:val="1"/>
          <w:sz w:val="24"/>
          <w:szCs w:val="24"/>
          <w:rtl w:val="0"/>
        </w:rPr>
        <w:t xml:space="preserve">Johnson &amp; Johnson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El País</w:t>
      </w:r>
      <w:r w:rsidDel="00000000" w:rsidR="00000000" w:rsidRPr="00000000">
        <w:rPr>
          <w:rFonts w:ascii="Arial" w:cs="Arial" w:eastAsia="Arial" w:hAnsi="Arial"/>
          <w:sz w:val="24"/>
          <w:szCs w:val="24"/>
          <w:rtl w:val="0"/>
        </w:rPr>
        <w:t xml:space="preserve">, 2022).</w:t>
      </w:r>
    </w:p>
    <w:p w:rsidR="00000000" w:rsidDel="00000000" w:rsidP="00000000" w:rsidRDefault="00000000" w:rsidRPr="00000000" w14:paraId="00000021">
      <w:pPr>
        <w:spacing w:after="0" w:line="276" w:lineRule="auto"/>
        <w:ind w:right="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276" w:lineRule="auto"/>
        <w:ind w:right="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3">
      <w:pPr>
        <w:spacing w:after="0" w:line="276" w:lineRule="auto"/>
        <w:ind w:right="80"/>
        <w:jc w:val="right"/>
        <w:rPr>
          <w:rFonts w:ascii="Arial" w:cs="Arial" w:eastAsia="Arial" w:hAnsi="Arial"/>
          <w:sz w:val="24"/>
          <w:szCs w:val="24"/>
        </w:rPr>
      </w:pPr>
      <w:r w:rsidDel="00000000" w:rsidR="00000000" w:rsidRPr="00000000">
        <w:rPr>
          <w:rFonts w:ascii="Arial" w:cs="Arial" w:eastAsia="Arial" w:hAnsi="Arial"/>
          <w:sz w:val="24"/>
          <w:szCs w:val="24"/>
        </w:rPr>
        <w:drawing>
          <wp:inline distB="0" distT="0" distL="0" distR="0">
            <wp:extent cx="6087605" cy="2435042"/>
            <wp:effectExtent b="0" l="0" r="0" t="0"/>
            <wp:docPr descr="C:\Users\Matias Cac\Desktop\Gráfico 1.jpeg" id="1" name="image1.png"/>
            <a:graphic>
              <a:graphicData uri="http://schemas.openxmlformats.org/drawingml/2006/picture">
                <pic:pic>
                  <pic:nvPicPr>
                    <pic:cNvPr descr="C:\Users\Matias Cac\Desktop\Gráfico 1.jpeg" id="0" name="image1.png"/>
                    <pic:cNvPicPr preferRelativeResize="0"/>
                  </pic:nvPicPr>
                  <pic:blipFill>
                    <a:blip r:embed="rId7"/>
                    <a:srcRect b="0" l="0" r="0" t="0"/>
                    <a:stretch>
                      <a:fillRect/>
                    </a:stretch>
                  </pic:blipFill>
                  <pic:spPr>
                    <a:xfrm>
                      <a:off x="0" y="0"/>
                      <a:ext cx="6087605" cy="2435042"/>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0" w:line="276" w:lineRule="auto"/>
        <w:ind w:right="80"/>
        <w:jc w:val="right"/>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5">
      <w:pPr>
        <w:spacing w:after="0" w:line="276" w:lineRule="auto"/>
        <w:ind w:right="8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Figura 1.</w:t>
      </w:r>
      <w:r w:rsidDel="00000000" w:rsidR="00000000" w:rsidRPr="00000000">
        <w:rPr>
          <w:rFonts w:ascii="Arial" w:cs="Arial" w:eastAsia="Arial" w:hAnsi="Arial"/>
          <w:sz w:val="20"/>
          <w:szCs w:val="20"/>
          <w:rtl w:val="0"/>
        </w:rPr>
        <w:t xml:space="preserve"> Representación de la 4° Revolución Industrial, que muestra las principales empresas involucradas en los procesos de desarrollo tecnológico específicos de la misma. Algunas de estas compañías se encuentran en uno o más de estos sectores, como parte de su diversificación, pero a fines representativos no se muestra esta información. Fuente: elaboración propia.</w:t>
      </w:r>
    </w:p>
    <w:p w:rsidR="00000000" w:rsidDel="00000000" w:rsidP="00000000" w:rsidRDefault="00000000" w:rsidRPr="00000000" w14:paraId="00000026">
      <w:pPr>
        <w:spacing w:after="0" w:line="276" w:lineRule="auto"/>
        <w:ind w:right="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after="0" w:line="276" w:lineRule="auto"/>
        <w:ind w:right="8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8">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inicios del siglo XX, con la aparición de toda una serie de “uniones monopolistas de los capitalistas”, Lenin (1975), en su conocido “Imperialismo, fase superior del capitalismo”, avizoró la conformación de una </w:t>
      </w:r>
      <w:r w:rsidDel="00000000" w:rsidR="00000000" w:rsidRPr="00000000">
        <w:rPr>
          <w:rFonts w:ascii="Arial" w:cs="Arial" w:eastAsia="Arial" w:hAnsi="Arial"/>
          <w:i w:val="1"/>
          <w:sz w:val="24"/>
          <w:szCs w:val="24"/>
          <w:rtl w:val="0"/>
        </w:rPr>
        <w:t xml:space="preserve">Oligarquía Financiera</w:t>
      </w:r>
      <w:r w:rsidDel="00000000" w:rsidR="00000000" w:rsidRPr="00000000">
        <w:rPr>
          <w:rFonts w:ascii="Arial" w:cs="Arial" w:eastAsia="Arial" w:hAnsi="Arial"/>
          <w:sz w:val="24"/>
          <w:szCs w:val="24"/>
          <w:rtl w:val="0"/>
        </w:rPr>
        <w:t xml:space="preserve"> como personificación de la fracción de clase dominante. Hoy, las nuevas relaciones sociales de producción se paran sobre estas </w:t>
      </w:r>
      <w:r w:rsidDel="00000000" w:rsidR="00000000" w:rsidRPr="00000000">
        <w:rPr>
          <w:rFonts w:ascii="Arial" w:cs="Arial" w:eastAsia="Arial" w:hAnsi="Arial"/>
          <w:i w:val="1"/>
          <w:sz w:val="24"/>
          <w:szCs w:val="24"/>
          <w:rtl w:val="0"/>
        </w:rPr>
        <w:t xml:space="preserve">Oligarquías Financieras</w:t>
      </w:r>
      <w:r w:rsidDel="00000000" w:rsidR="00000000" w:rsidRPr="00000000">
        <w:rPr>
          <w:rFonts w:ascii="Arial" w:cs="Arial" w:eastAsia="Arial" w:hAnsi="Arial"/>
          <w:sz w:val="24"/>
          <w:szCs w:val="24"/>
          <w:rtl w:val="0"/>
        </w:rPr>
        <w:t xml:space="preserve">, ordenándolas en una única gran red de control corporativo global (Vitali, Glattfelder, &amp; Battiston, 2011), encarnando el dominio de una nueva personificación dominante, una </w:t>
      </w:r>
      <w:r w:rsidDel="00000000" w:rsidR="00000000" w:rsidRPr="00000000">
        <w:rPr>
          <w:rFonts w:ascii="Arial" w:cs="Arial" w:eastAsia="Arial" w:hAnsi="Arial"/>
          <w:i w:val="1"/>
          <w:sz w:val="24"/>
          <w:szCs w:val="24"/>
          <w:rtl w:val="0"/>
        </w:rPr>
        <w:t xml:space="preserve">aristocracia financiera </w:t>
      </w:r>
      <w:r w:rsidDel="00000000" w:rsidR="00000000" w:rsidRPr="00000000">
        <w:rPr>
          <w:rFonts w:ascii="Arial" w:cs="Arial" w:eastAsia="Arial" w:hAnsi="Arial"/>
          <w:sz w:val="24"/>
          <w:szCs w:val="24"/>
          <w:rtl w:val="0"/>
        </w:rPr>
        <w:t xml:space="preserve">que incorporó un control sobre la </w:t>
      </w:r>
      <w:r w:rsidDel="00000000" w:rsidR="00000000" w:rsidRPr="00000000">
        <w:rPr>
          <w:rFonts w:ascii="Arial" w:cs="Arial" w:eastAsia="Arial" w:hAnsi="Arial"/>
          <w:i w:val="1"/>
          <w:sz w:val="24"/>
          <w:szCs w:val="24"/>
          <w:rtl w:val="0"/>
        </w:rPr>
        <w:t xml:space="preserve">tecnología</w:t>
      </w:r>
      <w:r w:rsidDel="00000000" w:rsidR="00000000" w:rsidRPr="00000000">
        <w:rPr>
          <w:rFonts w:ascii="Arial" w:cs="Arial" w:eastAsia="Arial" w:hAnsi="Arial"/>
          <w:sz w:val="24"/>
          <w:szCs w:val="24"/>
          <w:rtl w:val="0"/>
        </w:rPr>
        <w:t xml:space="preserve">, es decir, las áreas de la economía intensivas en conocimiento, o “conocimiento-intensivas”.</w:t>
      </w:r>
    </w:p>
    <w:p w:rsidR="00000000" w:rsidDel="00000000" w:rsidP="00000000" w:rsidRDefault="00000000" w:rsidRPr="00000000" w14:paraId="00000029">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intelectual argentina Beba Balvé (2009) señaló que:</w:t>
      </w:r>
    </w:p>
    <w:p w:rsidR="00000000" w:rsidDel="00000000" w:rsidP="00000000" w:rsidRDefault="00000000" w:rsidRPr="00000000" w14:paraId="0000002A">
      <w:pPr>
        <w:shd w:fill="ffffff" w:val="clear"/>
        <w:spacing w:after="0" w:line="276" w:lineRule="auto"/>
        <w:ind w:left="720" w:firstLine="0"/>
        <w:jc w:val="both"/>
        <w:rPr>
          <w:rFonts w:ascii="Arial" w:cs="Arial" w:eastAsia="Arial" w:hAnsi="Arial"/>
        </w:rPr>
      </w:pPr>
      <w:r w:rsidDel="00000000" w:rsidR="00000000" w:rsidRPr="00000000">
        <w:rPr>
          <w:rFonts w:ascii="Arial" w:cs="Arial" w:eastAsia="Arial" w:hAnsi="Arial"/>
          <w:rtl w:val="0"/>
        </w:rPr>
        <w:t xml:space="preserve">“Los reyes del poder, coaligados internacionalmente, constituyen hoy el bloque de poder mundial. […] Pareciera que no supimos captar las implicancias de la imposición del modelo -impuesto por Estados Unidos- en donde la `democracia es la del capital privado´. Es decir, dejó de ser patrimonio de los pueblos, según la revolución francesa y es del capital y sus dueños y su deidad, `la tecnología´”.</w:t>
      </w:r>
    </w:p>
    <w:p w:rsidR="00000000" w:rsidDel="00000000" w:rsidP="00000000" w:rsidRDefault="00000000" w:rsidRPr="00000000" w14:paraId="0000002B">
      <w:pPr>
        <w:shd w:fill="ffffff" w:val="clear"/>
        <w:spacing w:after="0" w:line="276" w:lineRule="auto"/>
        <w:ind w:left="72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C">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Sostenemos la idea de una </w:t>
      </w:r>
      <w:r w:rsidDel="00000000" w:rsidR="00000000" w:rsidRPr="00000000">
        <w:rPr>
          <w:rFonts w:ascii="Arial" w:cs="Arial" w:eastAsia="Arial" w:hAnsi="Arial"/>
          <w:i w:val="1"/>
          <w:sz w:val="24"/>
          <w:szCs w:val="24"/>
          <w:rtl w:val="0"/>
        </w:rPr>
        <w:t xml:space="preserve">Aristocracia </w:t>
      </w:r>
      <w:r w:rsidDel="00000000" w:rsidR="00000000" w:rsidRPr="00000000">
        <w:rPr>
          <w:rFonts w:ascii="Arial" w:cs="Arial" w:eastAsia="Arial" w:hAnsi="Arial"/>
          <w:sz w:val="24"/>
          <w:szCs w:val="24"/>
          <w:rtl w:val="0"/>
        </w:rPr>
        <w:t xml:space="preserve">en tanto se nos aparece como un pequeño segmento de esa </w:t>
      </w:r>
      <w:r w:rsidDel="00000000" w:rsidR="00000000" w:rsidRPr="00000000">
        <w:rPr>
          <w:rFonts w:ascii="Arial" w:cs="Arial" w:eastAsia="Arial" w:hAnsi="Arial"/>
          <w:i w:val="1"/>
          <w:sz w:val="24"/>
          <w:szCs w:val="24"/>
          <w:rtl w:val="0"/>
        </w:rPr>
        <w:t xml:space="preserve">Oligarquía Financiera </w:t>
      </w:r>
      <w:r w:rsidDel="00000000" w:rsidR="00000000" w:rsidRPr="00000000">
        <w:rPr>
          <w:rFonts w:ascii="Arial" w:cs="Arial" w:eastAsia="Arial" w:hAnsi="Arial"/>
          <w:sz w:val="24"/>
          <w:szCs w:val="24"/>
          <w:rtl w:val="0"/>
        </w:rPr>
        <w:t xml:space="preserve">definida por Lenin al caracterizar el imperialismo, y nos permite recuperar las nociones que el propio Marx tuvo en un célebre pasaje </w:t>
      </w:r>
      <w:r w:rsidDel="00000000" w:rsidR="00000000" w:rsidRPr="00000000">
        <w:rPr>
          <w:rFonts w:ascii="Arial" w:cs="Arial" w:eastAsia="Arial" w:hAnsi="Arial"/>
          <w:i w:val="1"/>
          <w:sz w:val="24"/>
          <w:szCs w:val="24"/>
          <w:rtl w:val="0"/>
        </w:rPr>
        <w:t xml:space="preserve">La lucha de clases en Francia de 1848 a 1850</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D">
      <w:pPr>
        <w:spacing w:after="0" w:line="276" w:lineRule="auto"/>
        <w:ind w:left="708" w:right="80" w:firstLine="0"/>
        <w:jc w:val="both"/>
        <w:rPr>
          <w:rFonts w:ascii="Arial" w:cs="Arial" w:eastAsia="Arial" w:hAnsi="Arial"/>
        </w:rPr>
      </w:pPr>
      <w:r w:rsidDel="00000000" w:rsidR="00000000" w:rsidRPr="00000000">
        <w:rPr>
          <w:rFonts w:ascii="Arial" w:cs="Arial" w:eastAsia="Arial" w:hAnsi="Arial"/>
          <w:rtl w:val="0"/>
        </w:rPr>
        <w:t xml:space="preserve">“La que dominó bajo Luis Felipe </w:t>
      </w:r>
      <w:r w:rsidDel="00000000" w:rsidR="00000000" w:rsidRPr="00000000">
        <w:rPr>
          <w:rFonts w:ascii="Arial" w:cs="Arial" w:eastAsia="Arial" w:hAnsi="Arial"/>
          <w:i w:val="1"/>
          <w:rtl w:val="0"/>
        </w:rPr>
        <w:t xml:space="preserve">[de Orleans, Rey de los Franceses ente 1830 y 1848]</w:t>
      </w:r>
      <w:r w:rsidDel="00000000" w:rsidR="00000000" w:rsidRPr="00000000">
        <w:rPr>
          <w:rFonts w:ascii="Arial" w:cs="Arial" w:eastAsia="Arial" w:hAnsi="Arial"/>
          <w:rtl w:val="0"/>
        </w:rPr>
        <w:t xml:space="preserve"> no fue la burguesía francesa sino una fracción de ella: los banqueros, los reyes de la Bolsa, los reyes de los ferrocarriles, los propietarios de minas de carbón y de hierro y de explotaciones forestales y una parte de la propiedad territorial aliada a ellos: la llamada aristocracia financiera. Ella ocupaba el trono, dictaba leyes en las Cámaras y adjudicaba los cargos públicos, desde los ministerios hasta los estancos” (2015, p. 43).</w:t>
      </w:r>
    </w:p>
    <w:p w:rsidR="00000000" w:rsidDel="00000000" w:rsidP="00000000" w:rsidRDefault="00000000" w:rsidRPr="00000000" w14:paraId="0000002E">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F">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También recuperamos algunos puntos planteados por Martín Asborno (1993), en </w:t>
      </w:r>
      <w:r w:rsidDel="00000000" w:rsidR="00000000" w:rsidRPr="00000000">
        <w:rPr>
          <w:rFonts w:ascii="Arial" w:cs="Arial" w:eastAsia="Arial" w:hAnsi="Arial"/>
          <w:i w:val="1"/>
          <w:sz w:val="24"/>
          <w:szCs w:val="24"/>
          <w:rtl w:val="0"/>
        </w:rPr>
        <w:t xml:space="preserve">La Moderna Aristocracia Financiera</w:t>
      </w:r>
      <w:r w:rsidDel="00000000" w:rsidR="00000000" w:rsidRPr="00000000">
        <w:rPr>
          <w:rFonts w:ascii="Arial" w:cs="Arial" w:eastAsia="Arial" w:hAnsi="Arial"/>
          <w:sz w:val="24"/>
          <w:szCs w:val="24"/>
          <w:rtl w:val="0"/>
        </w:rPr>
        <w:t xml:space="preserve">. Para caracterizar a esta fracción social, el autor plantea primero la capacidad monopólica sobre la riqueza que tiene esta fracción capitalista que no está ligada en forma directa a la producción de mercancías; segundo, el papel que se puede asignar a la aristocracia financiera en la intermediación crediticia en relación a la capacidad financiera del Estado -y del resto del sistema económico- y tercero, el rol que juegan dentro de esta estrategia capitalista los “funcionarios” en tanto resultan la personificación misma de esta fracción social en el poder.</w:t>
      </w:r>
    </w:p>
    <w:p w:rsidR="00000000" w:rsidDel="00000000" w:rsidP="00000000" w:rsidRDefault="00000000" w:rsidRPr="00000000" w14:paraId="00000030">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Teniendo en cuenta estas conceptualizaciones, la emergente </w:t>
      </w:r>
      <w:r w:rsidDel="00000000" w:rsidR="00000000" w:rsidRPr="00000000">
        <w:rPr>
          <w:rFonts w:ascii="Arial" w:cs="Arial" w:eastAsia="Arial" w:hAnsi="Arial"/>
          <w:i w:val="1"/>
          <w:sz w:val="24"/>
          <w:szCs w:val="24"/>
          <w:rtl w:val="0"/>
        </w:rPr>
        <w:t xml:space="preserve">Aristocracia Financiera y Tecnológica</w:t>
      </w:r>
      <w:r w:rsidDel="00000000" w:rsidR="00000000" w:rsidRPr="00000000">
        <w:rPr>
          <w:rFonts w:ascii="Arial" w:cs="Arial" w:eastAsia="Arial" w:hAnsi="Arial"/>
          <w:sz w:val="24"/>
          <w:szCs w:val="24"/>
          <w:rtl w:val="0"/>
        </w:rPr>
        <w:t xml:space="preserve"> es la personificación de la fracción del capital que se ha constituido como dominante en el momento actual. Como su nombre lo indica, en términos estructurales esta fracción está compuesta por los actores financieros más importantes en el escenario global, los grandes fondos financieros de inversión global, las grandes compañías tecnológicas de cada sector de la economía (TIC´s, robótica, nano y biotecnológico, aeroespacial, energético, químico, siderúrgico, agroalimentario), las aseguradoras y calificadoras de riesgo, los estudios jurídicos, las consultoras y los llamados </w:t>
      </w:r>
      <w:r w:rsidDel="00000000" w:rsidR="00000000" w:rsidRPr="00000000">
        <w:rPr>
          <w:rFonts w:ascii="Arial" w:cs="Arial" w:eastAsia="Arial" w:hAnsi="Arial"/>
          <w:i w:val="1"/>
          <w:sz w:val="24"/>
          <w:szCs w:val="24"/>
          <w:rtl w:val="0"/>
        </w:rPr>
        <w:t xml:space="preserve">think tanks</w:t>
      </w:r>
      <w:r w:rsidDel="00000000" w:rsidR="00000000" w:rsidRPr="00000000">
        <w:rPr>
          <w:rFonts w:ascii="Arial" w:cs="Arial" w:eastAsia="Arial" w:hAnsi="Arial"/>
          <w:sz w:val="24"/>
          <w:szCs w:val="24"/>
          <w:rtl w:val="0"/>
        </w:rPr>
        <w:t xml:space="preserve">, y el entramado multinacional controlado de “marcas” globales, que ha desarrollado un alcance planetario y un estado de monopolio sobre los segmentos estratégicos de la producción de valor, donde adquirió centralidad particular la producción de tecnologías de la información.</w:t>
      </w:r>
    </w:p>
    <w:p w:rsidR="00000000" w:rsidDel="00000000" w:rsidP="00000000" w:rsidRDefault="00000000" w:rsidRPr="00000000" w14:paraId="00000031">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2">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3">
      <w:pPr>
        <w:spacing w:after="0" w:line="276" w:lineRule="auto"/>
        <w:ind w:right="8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 Subsunción del Estado a la red global financiera y tecnológica</w:t>
      </w:r>
    </w:p>
    <w:p w:rsidR="00000000" w:rsidDel="00000000" w:rsidP="00000000" w:rsidRDefault="00000000" w:rsidRPr="00000000" w14:paraId="00000034">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35">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Hacia dentro de esta fracción del capital, se desarrolla hoy la contradicción principal, y la disputa por imponer un nuevo orden social. Como los intereses, y sobre todo la estrategia, de esta fracción se corresponden a una escala global, los Estados-Nación se encuentran colonizados por la misma, y son utilizados como herramienta-base para llevar a cabo sus objetivos. </w:t>
      </w:r>
    </w:p>
    <w:p w:rsidR="00000000" w:rsidDel="00000000" w:rsidP="00000000" w:rsidRDefault="00000000" w:rsidRPr="00000000" w14:paraId="00000036">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subsunción de los Estados, es decir, su instalación como un particular en un universal que los contiene, ha provocado hasta su obsolescencia como epicentro del poder. En términos weberianos, su capacidad de sostenerse como el “monopolio legítimo de la coerción”, como institución central y determinante donde “su aparato administrativo reclama con éxito el monopolio de la fuerza legítima para la realización del ordenamiento vigente” (Martínez-Ferro, 2010). </w:t>
      </w:r>
    </w:p>
    <w:p w:rsidR="00000000" w:rsidDel="00000000" w:rsidP="00000000" w:rsidRDefault="00000000" w:rsidRPr="00000000" w14:paraId="00000037">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emergencia de esta nueva fase del capital financiero-digital quiebra esa legitimidad y es en esa unicidad que los Estado-Nación, aún de los países centrales, han quedado subsumidos a una lógica de poder que los subordina, lo usa de “herramienta-base”, pero en un arsenal de “medios” -de medios para dar la lucha o para dominar- que hace 50 años no existían.</w:t>
      </w:r>
    </w:p>
    <w:p w:rsidR="00000000" w:rsidDel="00000000" w:rsidP="00000000" w:rsidRDefault="00000000" w:rsidRPr="00000000" w14:paraId="00000038">
      <w:pPr>
        <w:spacing w:after="0" w:line="276" w:lineRule="auto"/>
        <w:ind w:right="8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Más de 50 años de dominio ideológico y político neoliberal no han pasado en vano. Esta crisis del Estado-Nación, a esta altura crónica, se ha convertido también en un importante indicador del cambio de fase en el modo de producción capitalista. Es por eso que podemos afirmar, en otros términos, que el centro de poder conformado por una nueva aristocracia financiera y tecnológica ha superado ampliamente a los Estados, y la lucha intercapitalista, es decir, la puja entre diferentes fracciones del capital por imponer su visión plasmada en proyectos estratégicos, no se acota a límites territorialmente definidos en los Estados, sino que se constituye en una red, por encima y más allá de ellos.</w:t>
      </w:r>
    </w:p>
    <w:p w:rsidR="00000000" w:rsidDel="00000000" w:rsidP="00000000" w:rsidRDefault="00000000" w:rsidRPr="00000000" w14:paraId="00000039">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en el marco de este capitalismo, en su nueva fase global y digital, que se agudizan las luchas por la gobernanza global, enmarcada en el llamado G2, la ya conocida tensión entre Estados Unidos y China, más como redes financieras y tecnológicas que como Estados.</w:t>
      </w:r>
    </w:p>
    <w:p w:rsidR="00000000" w:rsidDel="00000000" w:rsidP="00000000" w:rsidRDefault="00000000" w:rsidRPr="00000000" w14:paraId="0000003A">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subsunción de los Estados no implica negar el momento de la política institucional y, mucho menos, posmodernizar las lecturas leninistas del Estado que, a fin de cuentas, sigue siendo una “maquinaria de dominación”, sólo que ahora se encuentra subsumido al momento tecnológico digital.</w:t>
      </w:r>
    </w:p>
    <w:p w:rsidR="00000000" w:rsidDel="00000000" w:rsidP="00000000" w:rsidRDefault="00000000" w:rsidRPr="00000000" w14:paraId="0000003B">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 que venimos afirmando y sosteniendo es que los Estados han sido integrados como particularidades en un universal más amplio, en un “arsenal” de medios para la dominación política mucho más potentes y sofisticados.</w:t>
      </w:r>
    </w:p>
    <w:p w:rsidR="00000000" w:rsidDel="00000000" w:rsidP="00000000" w:rsidRDefault="00000000" w:rsidRPr="00000000" w14:paraId="0000003C">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Negar esta nueva situación del modo de producción capitalista implicaría fetichizar al Estado en una centralidad económica, política y social que ya no tiene. La propia globalización y digitalización del capitalismo es la variable determinante de este nuevo acontecer, y es una discusión que el propio Lenin no dejó de dar.</w:t>
      </w:r>
    </w:p>
    <w:p w:rsidR="00000000" w:rsidDel="00000000" w:rsidP="00000000" w:rsidRDefault="00000000" w:rsidRPr="00000000" w14:paraId="0000003D">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propio Lenin, en su discusión con Kautsky sostiene: “`El creciente entrelazamiento internacional de las distintas pandillas del capital financiero´. Esta es la única tendencia verdaderamente general e indudable, y no de unos años y de dos países, sino del mundo entero, del capitalismo en su conjunto” (1977, pág. 323).</w:t>
      </w:r>
    </w:p>
    <w:p w:rsidR="00000000" w:rsidDel="00000000" w:rsidP="00000000" w:rsidRDefault="00000000" w:rsidRPr="00000000" w14:paraId="0000003E">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por eso que las batallas de hoy se dan entre proyectos político-estratégicos, con capacidad de trascender y transformar las fronteras de los Estados-Nación, el sistema internacional, y la dinámica estado-céntrica de los conflictos.</w:t>
      </w:r>
    </w:p>
    <w:p w:rsidR="00000000" w:rsidDel="00000000" w:rsidP="00000000" w:rsidRDefault="00000000" w:rsidRPr="00000000" w14:paraId="0000003F">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materialismo histórico nos indica que los cambios en las fuerzas productivas traen aparejados cambios en las relaciones sociales de producción y que estas últimas, tienen una vinculación dialéctica con la forma de organización de la política. De esta manera, así como la sociedad de la “fábrica de gran industria” fundamentaba la potencia de los Estado-Nación, el surgimiento de los grandes sindicatos industriales y la aparición de los partidos policlasistas, la configuración en red del capitalismo contemporáneo ha traído emparentada una serie de modificaciones sustanciales en la organización de lo social, lo político, lo cultural y lo militar.</w:t>
      </w:r>
    </w:p>
    <w:p w:rsidR="00000000" w:rsidDel="00000000" w:rsidP="00000000" w:rsidRDefault="00000000" w:rsidRPr="00000000" w14:paraId="00000040">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Esto va delineando una nueva geopolítica mundial, con la puja que también genera el desplazamiento del centro de gravedad de la economía mundial desde el Atlántico-Norte al Asia-Pacifico.</w:t>
      </w:r>
    </w:p>
    <w:p w:rsidR="00000000" w:rsidDel="00000000" w:rsidP="00000000" w:rsidRDefault="00000000" w:rsidRPr="00000000" w14:paraId="00000041">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Dentro de esta nueva personificación social, la de la aristocracia financiera y tecnológica, se enfrentan lo que puede identificarse como dos proyectos político-estratégicos, dos visiones del mundo que configuran dos grandes bloques de poder que expresan sus intereses en dos programas políticos: la disputa que denominamos como el G2 mundial, entre los proyectos financieros y tecnológicos-digitales de China-Huawei-BAT, de un lado, y los Estados Unidos-GAFAM, del otro.</w:t>
      </w:r>
    </w:p>
    <w:p w:rsidR="00000000" w:rsidDel="00000000" w:rsidP="00000000" w:rsidRDefault="00000000" w:rsidRPr="00000000" w14:paraId="00000042">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Mientras en términos superestructurales la República Popular de China logra encolumnar a las fuerzas estatales-nacionales de Rusia, Irán y la Organización de Cooperación de Shanghai (OCS), por el lado económico </w:t>
      </w:r>
      <w:r w:rsidDel="00000000" w:rsidR="00000000" w:rsidRPr="00000000">
        <w:rPr>
          <w:rFonts w:ascii="Arial" w:cs="Arial" w:eastAsia="Arial" w:hAnsi="Arial"/>
          <w:i w:val="1"/>
          <w:sz w:val="24"/>
          <w:szCs w:val="24"/>
          <w:rtl w:val="0"/>
        </w:rPr>
        <w:t xml:space="preserve">Huawei</w:t>
      </w:r>
      <w:r w:rsidDel="00000000" w:rsidR="00000000" w:rsidRPr="00000000">
        <w:rPr>
          <w:rFonts w:ascii="Arial" w:cs="Arial" w:eastAsia="Arial" w:hAnsi="Arial"/>
          <w:sz w:val="24"/>
          <w:szCs w:val="24"/>
          <w:rtl w:val="0"/>
        </w:rPr>
        <w:t xml:space="preserve"> articula a los capitales digitales y financieros “orientales”, como son el banco global chino </w:t>
      </w:r>
      <w:r w:rsidDel="00000000" w:rsidR="00000000" w:rsidRPr="00000000">
        <w:rPr>
          <w:rFonts w:ascii="Arial" w:cs="Arial" w:eastAsia="Arial" w:hAnsi="Arial"/>
          <w:i w:val="1"/>
          <w:sz w:val="24"/>
          <w:szCs w:val="24"/>
          <w:rtl w:val="0"/>
        </w:rPr>
        <w:t xml:space="preserve">ICBC</w:t>
      </w:r>
      <w:r w:rsidDel="00000000" w:rsidR="00000000" w:rsidRPr="00000000">
        <w:rPr>
          <w:rFonts w:ascii="Arial" w:cs="Arial" w:eastAsia="Arial" w:hAnsi="Arial"/>
          <w:sz w:val="24"/>
          <w:szCs w:val="24"/>
          <w:rtl w:val="0"/>
        </w:rPr>
        <w:t xml:space="preserve">, y las tecnológicas </w:t>
      </w:r>
      <w:r w:rsidDel="00000000" w:rsidR="00000000" w:rsidRPr="00000000">
        <w:rPr>
          <w:rFonts w:ascii="Arial" w:cs="Arial" w:eastAsia="Arial" w:hAnsi="Arial"/>
          <w:i w:val="1"/>
          <w:sz w:val="24"/>
          <w:szCs w:val="24"/>
          <w:rtl w:val="0"/>
        </w:rPr>
        <w:t xml:space="preserve">Tencent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Alibaba</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i w:val="1"/>
          <w:sz w:val="24"/>
          <w:szCs w:val="24"/>
          <w:rtl w:val="0"/>
        </w:rPr>
        <w:t xml:space="preserve">Baidu</w:t>
      </w:r>
      <w:r w:rsidDel="00000000" w:rsidR="00000000" w:rsidRPr="00000000">
        <w:rPr>
          <w:rFonts w:ascii="Arial" w:cs="Arial" w:eastAsia="Arial" w:hAnsi="Arial"/>
          <w:sz w:val="24"/>
          <w:szCs w:val="24"/>
          <w:rtl w:val="0"/>
        </w:rPr>
        <w:t xml:space="preserve">, con asiento en las bolsas de Shanghai, Shenzhen y Hong Kong.</w:t>
      </w:r>
    </w:p>
    <w:p w:rsidR="00000000" w:rsidDel="00000000" w:rsidP="00000000" w:rsidRDefault="00000000" w:rsidRPr="00000000" w14:paraId="00000043">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marco, en el año 2021 el presidente de China, Xi Jinping, tomó la iniciativa de crear un tercer mercado bursátil en el continente, detrás de Shanghai y Shenzhen, con la intención de captar y orientar un financiamiento específico que les permita multiplicar las empresas “high tech” chinas, aumentado la competencia entre las gigantes tecnológicas y profundizando el desarrollo de la economía digital. Tal acción se realizó con el único objetivo de promover el nacimiento de entre 50 y 200 mil “startups” en el corto plazo, con una bolsa que funciona como el Nasdaq norteamericano, sólo que recortado al sector de las pequeñas y medianas compañías de altas tecnologías.</w:t>
      </w:r>
    </w:p>
    <w:p w:rsidR="00000000" w:rsidDel="00000000" w:rsidP="00000000" w:rsidRDefault="00000000" w:rsidRPr="00000000" w14:paraId="00000044">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segundo polo es el articulado por Estados Unidos, donde se encolumnan los Estados que integran el G7 y el AUKUS, la nueva alianza militar de Estados Unidos, Reino Unido y Australia, intentando sumar a India. Las tecnológicas se encuentran hegemonizadas por el sistema GAFAM (</w:t>
      </w:r>
      <w:r w:rsidDel="00000000" w:rsidR="00000000" w:rsidRPr="00000000">
        <w:rPr>
          <w:rFonts w:ascii="Arial" w:cs="Arial" w:eastAsia="Arial" w:hAnsi="Arial"/>
          <w:i w:val="1"/>
          <w:sz w:val="24"/>
          <w:szCs w:val="24"/>
          <w:rtl w:val="0"/>
        </w:rPr>
        <w:t xml:space="preserve">Google,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Amazon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Facebook-Meta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Apple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Microsoft</w:t>
      </w:r>
      <w:r w:rsidDel="00000000" w:rsidR="00000000" w:rsidRPr="00000000">
        <w:rPr>
          <w:rFonts w:ascii="Arial" w:cs="Arial" w:eastAsia="Arial" w:hAnsi="Arial"/>
          <w:sz w:val="24"/>
          <w:szCs w:val="24"/>
          <w:rtl w:val="0"/>
        </w:rPr>
        <w:t xml:space="preserve">), con preeminencia de Amazon, y se articulan en torno Silicon Valley y Wall Street, donde </w:t>
      </w:r>
      <w:r w:rsidDel="00000000" w:rsidR="00000000" w:rsidRPr="00000000">
        <w:rPr>
          <w:rFonts w:ascii="Arial" w:cs="Arial" w:eastAsia="Arial" w:hAnsi="Arial"/>
          <w:i w:val="1"/>
          <w:sz w:val="24"/>
          <w:szCs w:val="24"/>
          <w:rtl w:val="0"/>
        </w:rPr>
        <w:t xml:space="preserve">BlackRock</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State Street</w:t>
      </w:r>
      <w:r w:rsidDel="00000000" w:rsidR="00000000" w:rsidRPr="00000000">
        <w:rPr>
          <w:rFonts w:ascii="Arial" w:cs="Arial" w:eastAsia="Arial" w:hAnsi="Arial"/>
          <w:sz w:val="24"/>
          <w:szCs w:val="24"/>
          <w:rtl w:val="0"/>
        </w:rPr>
        <w:t xml:space="preserve"> y </w:t>
      </w:r>
      <w:r w:rsidDel="00000000" w:rsidR="00000000" w:rsidRPr="00000000">
        <w:rPr>
          <w:rFonts w:ascii="Arial" w:cs="Arial" w:eastAsia="Arial" w:hAnsi="Arial"/>
          <w:i w:val="1"/>
          <w:sz w:val="24"/>
          <w:szCs w:val="24"/>
          <w:rtl w:val="0"/>
        </w:rPr>
        <w:t xml:space="preserve">Vanguard</w:t>
      </w:r>
      <w:r w:rsidDel="00000000" w:rsidR="00000000" w:rsidRPr="00000000">
        <w:rPr>
          <w:rFonts w:ascii="Arial" w:cs="Arial" w:eastAsia="Arial" w:hAnsi="Arial"/>
          <w:sz w:val="24"/>
          <w:szCs w:val="24"/>
          <w:rtl w:val="0"/>
        </w:rPr>
        <w:t xml:space="preserve">, los tres grandes Fondos Financieros de Inversión Global (FFIG), logran direccionar los grandes flujos de inversiones.</w:t>
      </w:r>
    </w:p>
    <w:p w:rsidR="00000000" w:rsidDel="00000000" w:rsidP="00000000" w:rsidRDefault="00000000" w:rsidRPr="00000000" w14:paraId="00000045">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despliegue económico y tecnológico chino se asocia a la “Ruta de la Seda”, </w:t>
      </w:r>
      <w:r w:rsidDel="00000000" w:rsidR="00000000" w:rsidRPr="00000000">
        <w:rPr>
          <w:rFonts w:ascii="Arial" w:cs="Arial" w:eastAsia="Arial" w:hAnsi="Arial"/>
          <w:i w:val="1"/>
          <w:sz w:val="24"/>
          <w:szCs w:val="24"/>
          <w:rtl w:val="0"/>
        </w:rPr>
        <w:t xml:space="preserve">Belt and Road Initiative - BRI</w:t>
      </w:r>
      <w:r w:rsidDel="00000000" w:rsidR="00000000" w:rsidRPr="00000000">
        <w:rPr>
          <w:rFonts w:ascii="Arial" w:cs="Arial" w:eastAsia="Arial" w:hAnsi="Arial"/>
          <w:sz w:val="24"/>
          <w:szCs w:val="24"/>
          <w:rtl w:val="0"/>
        </w:rPr>
        <w:t xml:space="preserve">, fundamentalmente como ruta energética y comercial, por un lado, y como “Ruta de la Seda Digital”, por el otro. Del lado norteamericano, el despliegue económico mundial construyó las dos iniciativas recientes: la “Red de Puntos Azules”, </w:t>
      </w:r>
      <w:r w:rsidDel="00000000" w:rsidR="00000000" w:rsidRPr="00000000">
        <w:rPr>
          <w:rFonts w:ascii="Arial" w:cs="Arial" w:eastAsia="Arial" w:hAnsi="Arial"/>
          <w:i w:val="1"/>
          <w:sz w:val="24"/>
          <w:szCs w:val="24"/>
          <w:rtl w:val="0"/>
        </w:rPr>
        <w:t xml:space="preserve">Blue Dot Network - BDN</w:t>
      </w:r>
      <w:r w:rsidDel="00000000" w:rsidR="00000000" w:rsidRPr="00000000">
        <w:rPr>
          <w:rFonts w:ascii="Arial" w:cs="Arial" w:eastAsia="Arial" w:hAnsi="Arial"/>
          <w:sz w:val="24"/>
          <w:szCs w:val="24"/>
          <w:rtl w:val="0"/>
        </w:rPr>
        <w:t xml:space="preserve">, y la iniciativa “B3W” o </w:t>
      </w:r>
      <w:r w:rsidDel="00000000" w:rsidR="00000000" w:rsidRPr="00000000">
        <w:rPr>
          <w:rFonts w:ascii="Arial" w:cs="Arial" w:eastAsia="Arial" w:hAnsi="Arial"/>
          <w:i w:val="1"/>
          <w:sz w:val="24"/>
          <w:szCs w:val="24"/>
          <w:rtl w:val="0"/>
        </w:rPr>
        <w:t xml:space="preserve">Build Back Better for the World</w:t>
      </w:r>
      <w:r w:rsidDel="00000000" w:rsidR="00000000" w:rsidRPr="00000000">
        <w:rPr>
          <w:rFonts w:ascii="Arial" w:cs="Arial" w:eastAsia="Arial" w:hAnsi="Arial"/>
          <w:sz w:val="24"/>
          <w:szCs w:val="24"/>
          <w:rtl w:val="0"/>
        </w:rPr>
        <w:t xml:space="preserve"> –es decir, reconstruir mejor para el mundo-, lanzada en el marco del G7 el pasado mes de junio. </w:t>
      </w:r>
    </w:p>
    <w:p w:rsidR="00000000" w:rsidDel="00000000" w:rsidP="00000000" w:rsidRDefault="00000000" w:rsidRPr="00000000" w14:paraId="00000046">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última, es un plan de infraestructuras dirigido a naciones de Latinoamérica, el Caribe, África y el Indopacífico. Se interpreta como una respuesta al proyecto económico de la Ruta de la Seda del gobierno chino de Xi Jinping. A esto se suma el proyecto lanzado en la cumbre de la OTAN, también en junio de 2021, donde se propuso un nuevo centro de innovación tecnológica que reúna al personal militar con la industria para fomentar la creación de empresas digitales de defensa.</w:t>
      </w:r>
    </w:p>
    <w:p w:rsidR="00000000" w:rsidDel="00000000" w:rsidP="00000000" w:rsidRDefault="00000000" w:rsidRPr="00000000" w14:paraId="00000047">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Ambos grandes proyectos globales ejecutan una permanente lucha por obtener mayores niveles de acumulación, disputando el control del conocimiento estratégico que permite la disminución de los tiempos sociales de producción, generando y controlando tecnología de punta en un territorio-mercado digital, virtual y global, que, a la vez, cumple el rol de eje ordenador del conjunto de las luchas interimperialistas que acontecen.</w:t>
      </w:r>
    </w:p>
    <w:p w:rsidR="00000000" w:rsidDel="00000000" w:rsidP="00000000" w:rsidRDefault="00000000" w:rsidRPr="00000000" w14:paraId="00000048">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Son estas dos grandes fuerzas estatales, energéticas, tecnológicas y financieras las que se disputan al continente europeo, el eslabón principal que determinará qué polo se impondrá como dominante. Esta es la situación que explica el conflicto en Ucrania, apenas un “teatro de operaciones” en la guerra del G2.</w:t>
      </w:r>
    </w:p>
    <w:p w:rsidR="00000000" w:rsidDel="00000000" w:rsidP="00000000" w:rsidRDefault="00000000" w:rsidRPr="00000000" w14:paraId="00000049">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bien no son los únicos proyectos estratégicos en disputa, la centralidad de estos dos bloques es incuestionable cuando se utiliza como indicador al Producto Bruto Interno (PBI), que mide el valor agregado de una economía en un determinado asiento territorial en un año calendario. En los últimos cálculos del FMI, el PBI estadounidense era de 24,8 billones de dólares, y el de China 18,5 billones de dólares. Este último ya superó al de la Unión Europea en su conjunto, un PBI fragmentado en 46 países.</w:t>
      </w:r>
    </w:p>
    <w:p w:rsidR="00000000" w:rsidDel="00000000" w:rsidP="00000000" w:rsidRDefault="00000000" w:rsidRPr="00000000" w14:paraId="0000004A">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su primer discurso ante el Congreso, en abril de este año, Joe Biden expresó: “Estamos en competencia con China y otros países para ganar el siglo XXI” (Infobae, 2021). Sin embargo, y en contra del sentido común y la agenda pública, la disputa entre Estados Unidos y China no ha disminuido la inversión de capital de los grandes fondos de inversión globales en ambos países, sino que en el último año ha ocurrido exactamente lo opuesto.</w:t>
      </w:r>
    </w:p>
    <w:p w:rsidR="00000000" w:rsidDel="00000000" w:rsidP="00000000" w:rsidRDefault="00000000" w:rsidRPr="00000000" w14:paraId="0000004B">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informe de la empresa de investigación Rhodium Group, dado a conocer en febrero de 2021 por el diario británico Financial Times, muestra la profundidad de los lazos de inversión entre Estados Unidos y China más allá de lo que informan las estadísticas oficiales. Este informe, recuperado en un análisis del periodista James Kynge, el Editor de China del diario globalista, asevera que “la dinámica del capital supera ampliamente la retórica competitiva que las dos potencias pueden plantearse en términos geopolíticos, ya que a pesar de todos los esfuerzos de la administración Trump, las inversiones de origen estadounidense en China no han hecho más que aumentar” (Kynge, 2021).</w:t>
      </w:r>
    </w:p>
    <w:p w:rsidR="00000000" w:rsidDel="00000000" w:rsidP="00000000" w:rsidRDefault="00000000" w:rsidRPr="00000000" w14:paraId="0000004C">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ir más lejos en septiembre, BlackRock, se convirtió en el primer administrador de activos extranjero en operar un negocio de propiedad total en la industria de fondos mutuos de $ 3,6 billones en China. Datos que demuestran que la red financiera tiene capacidad de interpenetración y control más allá de los límites de los países “potencia”.</w:t>
      </w:r>
    </w:p>
    <w:p w:rsidR="00000000" w:rsidDel="00000000" w:rsidP="00000000" w:rsidRDefault="00000000" w:rsidRPr="00000000" w14:paraId="0000004D">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el cuadro que aquí presentamos, de elaboración propia, se puede visualizar la participación accionaria de BlackRock, Vanguard Group, State Street y Fidelity, cuatro de los grandes fondos de inversión global, con las grandes empresas del sector tecnológico.</w:t>
      </w:r>
    </w:p>
    <w:p w:rsidR="00000000" w:rsidDel="00000000" w:rsidP="00000000" w:rsidRDefault="00000000" w:rsidRPr="00000000" w14:paraId="0000004E">
      <w:pPr>
        <w:shd w:fill="ffffff" w:val="clear"/>
        <w:spacing w:after="0" w:line="276"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F">
      <w:pPr>
        <w:shd w:fill="ffffff" w:val="clear"/>
        <w:spacing w:after="0"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Pr>
        <w:drawing>
          <wp:inline distB="114300" distT="114300" distL="114300" distR="114300">
            <wp:extent cx="5760410" cy="26162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6041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0"/>
          <w:szCs w:val="20"/>
          <w:rtl w:val="0"/>
        </w:rPr>
        <w:t xml:space="preserve">Tabla 1.</w:t>
      </w:r>
      <w:r w:rsidDel="00000000" w:rsidR="00000000" w:rsidRPr="00000000">
        <w:rPr>
          <w:rFonts w:ascii="Arial" w:cs="Arial" w:eastAsia="Arial" w:hAnsi="Arial"/>
          <w:sz w:val="20"/>
          <w:szCs w:val="20"/>
          <w:rtl w:val="0"/>
        </w:rPr>
        <w:t xml:space="preserve"> Fondos de Inversión y composición accionaria de Compañías TIC. Se muestran las principales empresas de la cuarta revolución industrial TIC de origen estadounidense y chino, y el porcentaje de acciones que poseen los Fondos de Inversión más grandes a nivel global. </w:t>
      </w:r>
      <w:r w:rsidDel="00000000" w:rsidR="00000000" w:rsidRPr="00000000">
        <w:rPr>
          <w:rtl w:val="0"/>
        </w:rPr>
      </w:r>
    </w:p>
    <w:p w:rsidR="00000000" w:rsidDel="00000000" w:rsidP="00000000" w:rsidRDefault="00000000" w:rsidRPr="00000000" w14:paraId="00000051">
      <w:pPr>
        <w:shd w:fill="ffffff" w:val="clea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Nótese que los porcentajes de propiedad accionaria son significativamente más elevados en las corporaciones de origen estadounidense, y angloamericano en general. Podría afirmarse que, mientras participan en las ganancias de las corporaciones chinas, los fondos de inversión controlan las empresas estadounidenses.</w:t>
      </w:r>
    </w:p>
    <w:p w:rsidR="00000000" w:rsidDel="00000000" w:rsidP="00000000" w:rsidRDefault="00000000" w:rsidRPr="00000000" w14:paraId="00000053">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Eso, por supuesto, depende de los Estatutos de cada actor económico, pero en líneas generales con una participación accionaria del 1,5% ya se tiene capacidad de opinión y vigilancia, mientras que con un 5% o más de las acciones se tiene capacidad de voto y control de cualquier directorio de cualquier gran compañía que cotice en las grandes bolsas del mundo.</w:t>
      </w:r>
    </w:p>
    <w:p w:rsidR="00000000" w:rsidDel="00000000" w:rsidP="00000000" w:rsidRDefault="00000000" w:rsidRPr="00000000" w14:paraId="00000054">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Pandemia obligó a poner el ojo en los grandes laboratorios multinacionales, y el resultado al que se llega es similar. En los laboratorios de origen angloamericano, los mencionados fondos financieros poseen una participación sustancial. BlackRock posee una participación del 7,16% en el laboratorio Johnson &amp; Johnson, del 5,11% en Moderna, del 7,12% en Pfizer. En la tabla siguiente se puede apreciar con más detalle:</w:t>
      </w:r>
    </w:p>
    <w:p w:rsidR="00000000" w:rsidDel="00000000" w:rsidP="00000000" w:rsidRDefault="00000000" w:rsidRPr="00000000" w14:paraId="00000055">
      <w:pPr>
        <w:shd w:fill="ffffff" w:val="clear"/>
        <w:spacing w:after="0" w:line="276" w:lineRule="auto"/>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6">
      <w:pPr>
        <w:shd w:fill="ffffff" w:val="clear"/>
        <w:spacing w:after="0" w:line="276"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Pr>
        <w:drawing>
          <wp:inline distB="114300" distT="114300" distL="114300" distR="114300">
            <wp:extent cx="4004882" cy="1456087"/>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4004882" cy="1456087"/>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b w:val="1"/>
          <w:sz w:val="20"/>
          <w:szCs w:val="20"/>
          <w:rtl w:val="0"/>
        </w:rPr>
        <w:t xml:space="preserve">Tabla 2.</w:t>
      </w:r>
      <w:r w:rsidDel="00000000" w:rsidR="00000000" w:rsidRPr="00000000">
        <w:rPr>
          <w:rFonts w:ascii="Arial" w:cs="Arial" w:eastAsia="Arial" w:hAnsi="Arial"/>
          <w:sz w:val="20"/>
          <w:szCs w:val="20"/>
          <w:rtl w:val="0"/>
        </w:rPr>
        <w:t xml:space="preserve"> Fondos de Inversión y composición accionaria de Laboratorios de origen angloamericano. Se muestran los principales laboratorios, y el porcentaje de acciones que poseen tres de los Fondos de Inversión más grandes a nivel global, apodados el “big three” de las finanzas. </w:t>
      </w:r>
      <w:r w:rsidDel="00000000" w:rsidR="00000000" w:rsidRPr="00000000">
        <w:rPr>
          <w:rtl w:val="0"/>
        </w:rPr>
      </w:r>
    </w:p>
    <w:p w:rsidR="00000000" w:rsidDel="00000000" w:rsidP="00000000" w:rsidRDefault="00000000" w:rsidRPr="00000000" w14:paraId="00000058">
      <w:pPr>
        <w:shd w:fill="ffffff" w:val="clea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Podríamos ir a otros sectores económicos estratégicos, y el panorama es similar. Alimentos, nano y biotecnología, energías renovables y no renovables, aeroespacial, logística y transporte, química, siderurgia, entre otros sectores, son enlazados en el dominio de algunos de los grandes proyectos estratégicos del gran capital transnacional, particularmente el de origen angloamericano.</w:t>
      </w:r>
    </w:p>
    <w:p w:rsidR="00000000" w:rsidDel="00000000" w:rsidP="00000000" w:rsidRDefault="00000000" w:rsidRPr="00000000" w14:paraId="0000005A">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Mientras los dos proyectos señalados diseñan el mundo, la mayoría de los Estados del planeta funcionan también como cadenas de suministros. Sus funciones son adquirir deuda, desregular los “mercados de trabajo” y disciplinar a la clase obrera, vender productos, especular con bonos, y por supuesto, construir los paliativos de las dolorosas condiciones de vida en que viven las grandes mayorías sociales.</w:t>
      </w:r>
    </w:p>
    <w:p w:rsidR="00000000" w:rsidDel="00000000" w:rsidP="00000000" w:rsidRDefault="00000000" w:rsidRPr="00000000" w14:paraId="0000005B">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hecho, los actores de esta nueva aristocracia financiera y tecnológica se enfrentan entre sí, y utilizan a los estados como un instrumento desde donde se implementan sanciones, leyes antimonopolio, control de datos y listas negras de empresas como instrumentos para dar la disputa.</w:t>
      </w:r>
    </w:p>
    <w:p w:rsidR="00000000" w:rsidDel="00000000" w:rsidP="00000000" w:rsidRDefault="00000000" w:rsidRPr="00000000" w14:paraId="0000005C">
      <w:pPr>
        <w:shd w:fill="ffffff" w:val="clea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shd w:fill="ffffff" w:val="clear"/>
        <w:spacing w:after="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E">
      <w:pPr>
        <w:shd w:fill="ffffff" w:val="clea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 revolución tecnológica, verdugo de la democracia liberal</w:t>
      </w:r>
    </w:p>
    <w:p w:rsidR="00000000" w:rsidDel="00000000" w:rsidP="00000000" w:rsidRDefault="00000000" w:rsidRPr="00000000" w14:paraId="0000005F">
      <w:pPr>
        <w:shd w:fill="ffffff" w:val="clear"/>
        <w:spacing w:after="0" w:line="276" w:lineRule="auto"/>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60">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economía de plataformas, los teléfonos inteligentes y las redes sociales están transformando radicalmente las mediaciones sociales y, con ello, toda la organización de la sociedad. La revolución tecnológica en la que estamos inmersos está siendo el verdugo de la democracia liberal. En palabras críticas a las grandes plataformas de internet, el por entonces presidente estadounidense Donald Trump, en la 74° Asamblea Anual de Naciones Unidas, sentenció que “una burocracia sin rostro opera en secreto y debilita el régimen democrático” (Infobae, 2018).</w:t>
      </w:r>
    </w:p>
    <w:p w:rsidR="00000000" w:rsidDel="00000000" w:rsidP="00000000" w:rsidRDefault="00000000" w:rsidRPr="00000000" w14:paraId="00000061">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Jamie Bartlett, director del Centro para el Análisis de las Redes Sociales de </w:t>
      </w:r>
      <w:r w:rsidDel="00000000" w:rsidR="00000000" w:rsidRPr="00000000">
        <w:rPr>
          <w:rFonts w:ascii="Arial" w:cs="Arial" w:eastAsia="Arial" w:hAnsi="Arial"/>
          <w:i w:val="1"/>
          <w:sz w:val="24"/>
          <w:szCs w:val="24"/>
          <w:rtl w:val="0"/>
        </w:rPr>
        <w:t xml:space="preserve">Demos</w:t>
      </w:r>
      <w:r w:rsidDel="00000000" w:rsidR="00000000" w:rsidRPr="00000000">
        <w:rPr>
          <w:rFonts w:ascii="Arial" w:cs="Arial" w:eastAsia="Arial" w:hAnsi="Arial"/>
          <w:sz w:val="24"/>
          <w:szCs w:val="24"/>
          <w:rtl w:val="0"/>
        </w:rPr>
        <w:t xml:space="preserve">, un think-tank británico, sentenció que “en los próximos años o bien la tecnología destruirá la democracia y el orden social tal como los conocemos, o la política impondrá su autoridad sobre el mundo digital. Se vuelve cada vez más claro que la tecnología está ganando esta batalla”.</w:t>
      </w:r>
    </w:p>
    <w:p w:rsidR="00000000" w:rsidDel="00000000" w:rsidP="00000000" w:rsidRDefault="00000000" w:rsidRPr="00000000" w14:paraId="00000062">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otras palabras, la democracia es una organización social de velocidad analógica que está siendo amenazada por la velocidad digital en la que funciona esta fase del capitalismo globalizado.</w:t>
      </w:r>
    </w:p>
    <w:p w:rsidR="00000000" w:rsidDel="00000000" w:rsidP="00000000" w:rsidRDefault="00000000" w:rsidRPr="00000000" w14:paraId="00000063">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los últimos datos del portal </w:t>
      </w:r>
      <w:r w:rsidDel="00000000" w:rsidR="00000000" w:rsidRPr="00000000">
        <w:rPr>
          <w:rFonts w:ascii="Arial" w:cs="Arial" w:eastAsia="Arial" w:hAnsi="Arial"/>
          <w:i w:val="1"/>
          <w:sz w:val="24"/>
          <w:szCs w:val="24"/>
          <w:rtl w:val="0"/>
        </w:rPr>
        <w:t xml:space="preserve">Data Reportal</w:t>
      </w:r>
      <w:r w:rsidDel="00000000" w:rsidR="00000000" w:rsidRPr="00000000">
        <w:rPr>
          <w:rFonts w:ascii="Arial" w:cs="Arial" w:eastAsia="Arial" w:hAnsi="Arial"/>
          <w:sz w:val="24"/>
          <w:szCs w:val="24"/>
          <w:rtl w:val="0"/>
        </w:rPr>
        <w:t xml:space="preserve">, de enero de 2022, “los usuarios de Internet en todo el mundo ascendieron a 4950 millones a principios de 2022, con una penetración de Internet que ahora representa el 62,5 % de la población total del mundo. Los datos muestran que los usuarios de Internet han crecido en 192 millones (+4%) durante el año pasado, pero las restricciones actuales a la investigación y los informes debido al COVID-19 significan que las tendencias de crecimiento reales pueden ser considerablemente más altas de lo que sugieren estas cifras”. El portal agrega que “más de dos tercios (67,1%) de la población mundial ahora usa un teléfono móvil, y los usuarios únicos alcanzaron los 5310 millones a principios de 2022” (Data Reportal, 2022).</w:t>
      </w:r>
    </w:p>
    <w:p w:rsidR="00000000" w:rsidDel="00000000" w:rsidP="00000000" w:rsidRDefault="00000000" w:rsidRPr="00000000" w14:paraId="00000064">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otros datos de este mismo portal, </w:t>
      </w:r>
      <w:r w:rsidDel="00000000" w:rsidR="00000000" w:rsidRPr="00000000">
        <w:rPr>
          <w:rFonts w:ascii="Arial" w:cs="Arial" w:eastAsia="Arial" w:hAnsi="Arial"/>
          <w:i w:val="1"/>
          <w:sz w:val="24"/>
          <w:szCs w:val="24"/>
          <w:rtl w:val="0"/>
        </w:rPr>
        <w:t xml:space="preserve">Facebook </w:t>
      </w:r>
      <w:r w:rsidDel="00000000" w:rsidR="00000000" w:rsidRPr="00000000">
        <w:rPr>
          <w:rFonts w:ascii="Arial" w:cs="Arial" w:eastAsia="Arial" w:hAnsi="Arial"/>
          <w:sz w:val="24"/>
          <w:szCs w:val="24"/>
          <w:rtl w:val="0"/>
        </w:rPr>
        <w:t xml:space="preserve">es la red social con mayor cantidad de usuarios, con más de 2910 millones de personas, equivalente al 36,8% de la población mundial, con un uso mundial promedio de 19,6 horas por mes. Si fuera un país, </w:t>
      </w:r>
      <w:r w:rsidDel="00000000" w:rsidR="00000000" w:rsidRPr="00000000">
        <w:rPr>
          <w:rFonts w:ascii="Arial" w:cs="Arial" w:eastAsia="Arial" w:hAnsi="Arial"/>
          <w:i w:val="1"/>
          <w:sz w:val="24"/>
          <w:szCs w:val="24"/>
          <w:rtl w:val="0"/>
        </w:rPr>
        <w:t xml:space="preserve">Facebook </w:t>
      </w:r>
      <w:r w:rsidDel="00000000" w:rsidR="00000000" w:rsidRPr="00000000">
        <w:rPr>
          <w:rFonts w:ascii="Arial" w:cs="Arial" w:eastAsia="Arial" w:hAnsi="Arial"/>
          <w:sz w:val="24"/>
          <w:szCs w:val="24"/>
          <w:rtl w:val="0"/>
        </w:rPr>
        <w:t xml:space="preserve">dejaría muy por detrás a China e India, los Estados más poblados del planeta, con 1415 y 1408 millones de habitantes respectivamente.</w:t>
      </w:r>
    </w:p>
    <w:p w:rsidR="00000000" w:rsidDel="00000000" w:rsidP="00000000" w:rsidRDefault="00000000" w:rsidRPr="00000000" w14:paraId="00000065">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w:t>
      </w:r>
      <w:r w:rsidDel="00000000" w:rsidR="00000000" w:rsidRPr="00000000">
        <w:rPr>
          <w:rFonts w:ascii="Arial" w:cs="Arial" w:eastAsia="Arial" w:hAnsi="Arial"/>
          <w:i w:val="1"/>
          <w:sz w:val="24"/>
          <w:szCs w:val="24"/>
          <w:rtl w:val="0"/>
        </w:rPr>
        <w:t xml:space="preserve">Facebook </w:t>
      </w:r>
      <w:r w:rsidDel="00000000" w:rsidR="00000000" w:rsidRPr="00000000">
        <w:rPr>
          <w:rFonts w:ascii="Arial" w:cs="Arial" w:eastAsia="Arial" w:hAnsi="Arial"/>
          <w:sz w:val="24"/>
          <w:szCs w:val="24"/>
          <w:rtl w:val="0"/>
        </w:rPr>
        <w:t xml:space="preserve">se suma la densidad de otras redes sociales, como </w:t>
      </w:r>
      <w:r w:rsidDel="00000000" w:rsidR="00000000" w:rsidRPr="00000000">
        <w:rPr>
          <w:rFonts w:ascii="Arial" w:cs="Arial" w:eastAsia="Arial" w:hAnsi="Arial"/>
          <w:i w:val="1"/>
          <w:sz w:val="24"/>
          <w:szCs w:val="24"/>
          <w:rtl w:val="0"/>
        </w:rPr>
        <w:t xml:space="preserve">Youtube </w:t>
      </w:r>
      <w:r w:rsidDel="00000000" w:rsidR="00000000" w:rsidRPr="00000000">
        <w:rPr>
          <w:rFonts w:ascii="Arial" w:cs="Arial" w:eastAsia="Arial" w:hAnsi="Arial"/>
          <w:sz w:val="24"/>
          <w:szCs w:val="24"/>
          <w:rtl w:val="0"/>
        </w:rPr>
        <w:t xml:space="preserve">cuenta con más de 2560 millones de personas, </w:t>
      </w:r>
      <w:r w:rsidDel="00000000" w:rsidR="00000000" w:rsidRPr="00000000">
        <w:rPr>
          <w:rFonts w:ascii="Arial" w:cs="Arial" w:eastAsia="Arial" w:hAnsi="Arial"/>
          <w:i w:val="1"/>
          <w:sz w:val="24"/>
          <w:szCs w:val="24"/>
          <w:rtl w:val="0"/>
        </w:rPr>
        <w:t xml:space="preserve">Instagram </w:t>
      </w:r>
      <w:r w:rsidDel="00000000" w:rsidR="00000000" w:rsidRPr="00000000">
        <w:rPr>
          <w:rFonts w:ascii="Arial" w:cs="Arial" w:eastAsia="Arial" w:hAnsi="Arial"/>
          <w:sz w:val="24"/>
          <w:szCs w:val="24"/>
          <w:rtl w:val="0"/>
        </w:rPr>
        <w:t xml:space="preserve">con más de 1480 millones, </w:t>
      </w:r>
      <w:r w:rsidDel="00000000" w:rsidR="00000000" w:rsidRPr="00000000">
        <w:rPr>
          <w:rFonts w:ascii="Arial" w:cs="Arial" w:eastAsia="Arial" w:hAnsi="Arial"/>
          <w:i w:val="1"/>
          <w:sz w:val="24"/>
          <w:szCs w:val="24"/>
          <w:rtl w:val="0"/>
        </w:rPr>
        <w:t xml:space="preserve">TikTok </w:t>
      </w:r>
      <w:r w:rsidDel="00000000" w:rsidR="00000000" w:rsidRPr="00000000">
        <w:rPr>
          <w:rFonts w:ascii="Arial" w:cs="Arial" w:eastAsia="Arial" w:hAnsi="Arial"/>
          <w:sz w:val="24"/>
          <w:szCs w:val="24"/>
          <w:rtl w:val="0"/>
        </w:rPr>
        <w:t xml:space="preserve">con 884 millones, </w:t>
      </w:r>
      <w:r w:rsidDel="00000000" w:rsidR="00000000" w:rsidRPr="00000000">
        <w:rPr>
          <w:rFonts w:ascii="Arial" w:cs="Arial" w:eastAsia="Arial" w:hAnsi="Arial"/>
          <w:i w:val="1"/>
          <w:sz w:val="24"/>
          <w:szCs w:val="24"/>
          <w:rtl w:val="0"/>
        </w:rPr>
        <w:t xml:space="preserve">Linkedin </w:t>
      </w:r>
      <w:r w:rsidDel="00000000" w:rsidR="00000000" w:rsidRPr="00000000">
        <w:rPr>
          <w:rFonts w:ascii="Arial" w:cs="Arial" w:eastAsia="Arial" w:hAnsi="Arial"/>
          <w:sz w:val="24"/>
          <w:szCs w:val="24"/>
          <w:rtl w:val="0"/>
        </w:rPr>
        <w:t xml:space="preserve">con 808 millones, </w:t>
      </w:r>
      <w:r w:rsidDel="00000000" w:rsidR="00000000" w:rsidRPr="00000000">
        <w:rPr>
          <w:rFonts w:ascii="Arial" w:cs="Arial" w:eastAsia="Arial" w:hAnsi="Arial"/>
          <w:i w:val="1"/>
          <w:sz w:val="24"/>
          <w:szCs w:val="24"/>
          <w:rtl w:val="0"/>
        </w:rPr>
        <w:t xml:space="preserve">Snapchat </w:t>
      </w:r>
      <w:r w:rsidDel="00000000" w:rsidR="00000000" w:rsidRPr="00000000">
        <w:rPr>
          <w:rFonts w:ascii="Arial" w:cs="Arial" w:eastAsia="Arial" w:hAnsi="Arial"/>
          <w:sz w:val="24"/>
          <w:szCs w:val="24"/>
          <w:rtl w:val="0"/>
        </w:rPr>
        <w:t xml:space="preserve">con 557 millones y </w:t>
      </w:r>
      <w:r w:rsidDel="00000000" w:rsidR="00000000" w:rsidRPr="00000000">
        <w:rPr>
          <w:rFonts w:ascii="Arial" w:cs="Arial" w:eastAsia="Arial" w:hAnsi="Arial"/>
          <w:i w:val="1"/>
          <w:sz w:val="24"/>
          <w:szCs w:val="24"/>
          <w:rtl w:val="0"/>
        </w:rPr>
        <w:t xml:space="preserve">Twitter </w:t>
      </w:r>
      <w:r w:rsidDel="00000000" w:rsidR="00000000" w:rsidRPr="00000000">
        <w:rPr>
          <w:rFonts w:ascii="Arial" w:cs="Arial" w:eastAsia="Arial" w:hAnsi="Arial"/>
          <w:sz w:val="24"/>
          <w:szCs w:val="24"/>
          <w:rtl w:val="0"/>
        </w:rPr>
        <w:t xml:space="preserve">436 millones. En total, “hay 4620 millones de usuarios de redes sociales en todo el mundo en enero de 2022. Esta cifra equivale al 58,4 % de la población total del mundo” (Data Reportal, 2022).</w:t>
      </w:r>
    </w:p>
    <w:p w:rsidR="00000000" w:rsidDel="00000000" w:rsidP="00000000" w:rsidRDefault="00000000" w:rsidRPr="00000000" w14:paraId="00000066">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emergencia de las plataformas digitales ha construido, definitivamente, nuevas formas de mediación de la sociedad, organizando y conectando nuevas relaciones de poder. Esto implica comprender que los mecanismos de producción y realización del poder han variado, y las formas en las cuales se construye hegemonía también.</w:t>
      </w:r>
    </w:p>
    <w:p w:rsidR="00000000" w:rsidDel="00000000" w:rsidP="00000000" w:rsidRDefault="00000000" w:rsidRPr="00000000" w14:paraId="00000067">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escenario de transnacionalización definitiva y digitalización total del modo de producción capitalista empuja la total caducidad del diseño jurídico e institucional de la democracia liberal, con su creencia en la división de poderes y en la posibilidad de “representar” las mayorías. Las sociedades humanas y sus necesidades terminan siendo prisioneros de esta democracia, restrictiva y deliberativa, que bloquea y traba toda posibilidad de encauzar positivamente estos cambios tan profundos en la estructura económico-social del mundo.</w:t>
      </w:r>
    </w:p>
    <w:p w:rsidR="00000000" w:rsidDel="00000000" w:rsidP="00000000" w:rsidRDefault="00000000" w:rsidRPr="00000000" w14:paraId="00000068">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mundo que se está intentando construir incluye ciudades inteligentes, interconectadas a través del 5G y próximo 6G, con la virtualidad y el teletrabajo como forma de vida, el internet de las cosas (IOT), la digitalización absoluta de la vida doméstica, laboral, educativa y social. Estos niveles de conectividad hacen que se den las condiciones para un aumento de la hipervigilancia, así como el control y la predicción sobre nuestros comportamientos. Una especie de panóptico foucaultiano en cada dispositivo, que el filósofo surcoreano Byung-Chul Han ha definido como panóptico digital (Psicopolítica, 2021).</w:t>
      </w:r>
    </w:p>
    <w:p w:rsidR="00000000" w:rsidDel="00000000" w:rsidP="00000000" w:rsidRDefault="00000000" w:rsidRPr="00000000" w14:paraId="00000069">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Shoshana Zuboff, profesora de la Harvard Bussiness School, en su libro </w:t>
      </w:r>
      <w:r w:rsidDel="00000000" w:rsidR="00000000" w:rsidRPr="00000000">
        <w:rPr>
          <w:rFonts w:ascii="Arial" w:cs="Arial" w:eastAsia="Arial" w:hAnsi="Arial"/>
          <w:i w:val="1"/>
          <w:sz w:val="24"/>
          <w:szCs w:val="24"/>
          <w:rtl w:val="0"/>
        </w:rPr>
        <w:t xml:space="preserve">La era del Capitalismo de la Vigilancia </w:t>
      </w:r>
      <w:r w:rsidDel="00000000" w:rsidR="00000000" w:rsidRPr="00000000">
        <w:rPr>
          <w:rFonts w:ascii="Arial" w:cs="Arial" w:eastAsia="Arial" w:hAnsi="Arial"/>
          <w:sz w:val="24"/>
          <w:szCs w:val="24"/>
          <w:rtl w:val="0"/>
        </w:rPr>
        <w:t xml:space="preserve">describió que “las empresas pasan a ser capaces de influir y modificar el comportamiento individual y colectivo, a escala ya que, controlan los espacios críticos de conexión y comunicación y logran con esto una intervención directa en la autonomía humana”. Los mismos capturan nuestros datos y vuelven a nosotros “con mensajes diseñados para ajustar, manipular y modificar nuestras actitudes, socavando nuestra propia capacidad de actuar y pensar por nosotros mismos” (Zuboff, 2019).</w:t>
      </w:r>
    </w:p>
    <w:p w:rsidR="00000000" w:rsidDel="00000000" w:rsidP="00000000" w:rsidRDefault="00000000" w:rsidRPr="00000000" w14:paraId="0000006A">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revolución tecnológica en marcha afirma, por sí misma, que están dadas las condiciones para resolver los grandes problemas de la humanidad. Pero, como contracara, en el Foro Económico Mundial, que año a año se reúne en Davos, en febrero de 2020, a días que la Pandemia del Covid-19 impactara globalmente, enumeró ocho predicciones para el futuro, entre las cuales la primera de ellas afirmaba que “en el 2030 no tendrás nada, pero serás feliz”.</w:t>
      </w:r>
    </w:p>
    <w:p w:rsidR="00000000" w:rsidDel="00000000" w:rsidP="00000000" w:rsidRDefault="00000000" w:rsidRPr="00000000" w14:paraId="0000006B">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revolución del capital ya está mostrando sus consecuencias. Por un lado, la cada vez más evidente obsolescencia de los modelos de producción y consumo, como el caso de la energía fósil, donde se está considerando la aplicación de un impuesto al carbono por el uso de este tipo de combustibles para empujar la llamada “transición energética”.</w:t>
      </w:r>
    </w:p>
    <w:p w:rsidR="00000000" w:rsidDel="00000000" w:rsidP="00000000" w:rsidRDefault="00000000" w:rsidRPr="00000000" w14:paraId="0000006C">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crisis económicas del crack pandémico y del conflicto armado europeo, con epicentro en Ucrania, también han acelerado este proceso. Estos últimos años se ha visto un aumento de precios de la energía y los alimentos, la expansión de procesos inflacionarios, el aumento de los llamados “precios básicos”, y el desabastecimiento de productos de primera necesidad.</w:t>
      </w:r>
    </w:p>
    <w:p w:rsidR="00000000" w:rsidDel="00000000" w:rsidP="00000000" w:rsidRDefault="00000000" w:rsidRPr="00000000" w14:paraId="0000006D">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datos recientes son alarmantes. El aumento de los “precios básicos” de la economía, que determinan la estructura de costos de la vida de 7.900 millones de seres humanos, pujan en alza. Recientemente Oxfam estimó que el aumento de los precios mundiales llevará a la pobreza extrema a otros 65 millones de personas, unos 263 millones de personas en total, “lo que equivale a la población conjunta del Reino Unido, Francia, Alemania y España” (Agencia Télam, 2022). Por su parte, el Banco Mundial, advirtió que “por cada punto porcentual de aumento en los precios de los alimentos se espera que 10 millones de nuevas personas caigan en la pobreza extrema” (Página/12, 2022).</w:t>
      </w:r>
    </w:p>
    <w:p w:rsidR="00000000" w:rsidDel="00000000" w:rsidP="00000000" w:rsidRDefault="00000000" w:rsidRPr="00000000" w14:paraId="0000006E">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concentración de la riqueza, no es una novedad, y la pandemia y la guerra profundizan las desigualdades. Jonatan Baldiviezo y Maria Eva Koutsovitis, en una nota titulada “La desigualdad en el mundo y la debilidad democrática” (2022) realizan un excelente recuento:</w:t>
      </w:r>
    </w:p>
    <w:p w:rsidR="00000000" w:rsidDel="00000000" w:rsidP="00000000" w:rsidRDefault="00000000" w:rsidRPr="00000000" w14:paraId="0000006F">
      <w:pPr>
        <w:numPr>
          <w:ilvl w:val="0"/>
          <w:numId w:val="1"/>
        </w:numPr>
        <w:shd w:fill="ffffff" w:val="clea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10 hombres más ricos del mundo poseen más riqueza que los 3100 millones de personas más pobres.</w:t>
      </w:r>
    </w:p>
    <w:p w:rsidR="00000000" w:rsidDel="00000000" w:rsidP="00000000" w:rsidRDefault="00000000" w:rsidRPr="00000000" w14:paraId="00000070">
      <w:pPr>
        <w:numPr>
          <w:ilvl w:val="0"/>
          <w:numId w:val="1"/>
        </w:numPr>
        <w:shd w:fill="ffffff" w:val="clea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10% más rico de la población mundial recibe actualmente el 52% del ingreso mundial, mientras la mitad más pobre sólo el 8,5%.</w:t>
      </w:r>
    </w:p>
    <w:p w:rsidR="00000000" w:rsidDel="00000000" w:rsidP="00000000" w:rsidRDefault="00000000" w:rsidRPr="00000000" w14:paraId="00000071">
      <w:pPr>
        <w:numPr>
          <w:ilvl w:val="0"/>
          <w:numId w:val="1"/>
        </w:numPr>
        <w:shd w:fill="ffffff" w:val="clea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mitad más pobre de la población mundial posee el 2% del total de la riqueza. El 10% más rico posee el 76% de toda la riqueza.</w:t>
      </w:r>
    </w:p>
    <w:p w:rsidR="00000000" w:rsidDel="00000000" w:rsidP="00000000" w:rsidRDefault="00000000" w:rsidRPr="00000000" w14:paraId="00000072">
      <w:pPr>
        <w:numPr>
          <w:ilvl w:val="0"/>
          <w:numId w:val="1"/>
        </w:numPr>
        <w:shd w:fill="ffffff" w:val="clea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Apenas un 10% de emisores es responsable de casi el 50% de todas las emisiones de carbono, mientras que el 50% produce el 12% del total.</w:t>
      </w:r>
    </w:p>
    <w:p w:rsidR="00000000" w:rsidDel="00000000" w:rsidP="00000000" w:rsidRDefault="00000000" w:rsidRPr="00000000" w14:paraId="00000073">
      <w:pPr>
        <w:numPr>
          <w:ilvl w:val="0"/>
          <w:numId w:val="1"/>
        </w:numPr>
        <w:shd w:fill="ffffff" w:val="clear"/>
        <w:spacing w:after="0" w:line="276" w:lineRule="auto"/>
        <w:ind w:left="720" w:hanging="36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emisiones de carbono del 1 % más rico duplican las de la mitad más pobre de la población mundial.</w:t>
      </w:r>
    </w:p>
    <w:p w:rsidR="00000000" w:rsidDel="00000000" w:rsidP="00000000" w:rsidRDefault="00000000" w:rsidRPr="00000000" w14:paraId="00000074">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5">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el </w:t>
      </w:r>
      <w:r w:rsidDel="00000000" w:rsidR="00000000" w:rsidRPr="00000000">
        <w:rPr>
          <w:rFonts w:ascii="Arial" w:cs="Arial" w:eastAsia="Arial" w:hAnsi="Arial"/>
          <w:i w:val="1"/>
          <w:sz w:val="24"/>
          <w:szCs w:val="24"/>
          <w:rtl w:val="0"/>
        </w:rPr>
        <w:t xml:space="preserve">World Inequality Report 2022</w:t>
      </w:r>
      <w:r w:rsidDel="00000000" w:rsidR="00000000" w:rsidRPr="00000000">
        <w:rPr>
          <w:rFonts w:ascii="Arial" w:cs="Arial" w:eastAsia="Arial" w:hAnsi="Arial"/>
          <w:sz w:val="24"/>
          <w:szCs w:val="24"/>
          <w:rtl w:val="0"/>
        </w:rPr>
        <w:t xml:space="preserve">, desde 1995 el 1% más rico ha acaparado una parte 19 veces mayor del crecimiento de la riqueza global que la mitad más pobre de la humanidad (Chancel et. al., 2022). Según OXFAM, en su informe </w:t>
      </w:r>
      <w:r w:rsidDel="00000000" w:rsidR="00000000" w:rsidRPr="00000000">
        <w:rPr>
          <w:rFonts w:ascii="Arial" w:cs="Arial" w:eastAsia="Arial" w:hAnsi="Arial"/>
          <w:i w:val="1"/>
          <w:sz w:val="24"/>
          <w:szCs w:val="24"/>
          <w:rtl w:val="0"/>
        </w:rPr>
        <w:t xml:space="preserve">Las desigualdades matan </w:t>
      </w:r>
      <w:r w:rsidDel="00000000" w:rsidR="00000000" w:rsidRPr="00000000">
        <w:rPr>
          <w:rFonts w:ascii="Arial" w:cs="Arial" w:eastAsia="Arial" w:hAnsi="Arial"/>
          <w:sz w:val="24"/>
          <w:szCs w:val="24"/>
          <w:rtl w:val="0"/>
        </w:rPr>
        <w:t xml:space="preserve">de enero de 2022, “252 hombres poseen más riqueza que los mil millones de mujeres y niñas de África, América Latina y el Caribe” (Oxfam Internacional, 2022).</w:t>
      </w:r>
    </w:p>
    <w:p w:rsidR="00000000" w:rsidDel="00000000" w:rsidP="00000000" w:rsidRDefault="00000000" w:rsidRPr="00000000" w14:paraId="00000076">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situación social mundial empieza a tener rasgos de catástrofe humanitaria. Según ACNUR, la Agencia de Naciones Unidas para los refugiados, “por primera vez en la historia, el número de personas forzadas a huir de conflictos, violencia, violaciones a derechos humanos y persecución ha superado la impactante cifra de 100 millones, impulsado por la guerra en Ucrania y a otros mortíferos conflictos” (Fundación ACNUR Argentina, 2022).</w:t>
      </w:r>
    </w:p>
    <w:p w:rsidR="00000000" w:rsidDel="00000000" w:rsidP="00000000" w:rsidRDefault="00000000" w:rsidRPr="00000000" w14:paraId="00000077">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proyecciones de la Organización Internacional del Trabajo (OIT), recogidas en el informe </w:t>
      </w:r>
      <w:r w:rsidDel="00000000" w:rsidR="00000000" w:rsidRPr="00000000">
        <w:rPr>
          <w:rFonts w:ascii="Arial" w:cs="Arial" w:eastAsia="Arial" w:hAnsi="Arial"/>
          <w:i w:val="1"/>
          <w:sz w:val="24"/>
          <w:szCs w:val="24"/>
          <w:rtl w:val="0"/>
        </w:rPr>
        <w:t xml:space="preserve">Tendencias 2022: Perspectivas Sociales y del Empleo en el Mundo</w:t>
      </w:r>
      <w:r w:rsidDel="00000000" w:rsidR="00000000" w:rsidRPr="00000000">
        <w:rPr>
          <w:rFonts w:ascii="Arial" w:cs="Arial" w:eastAsia="Arial" w:hAnsi="Arial"/>
          <w:sz w:val="24"/>
          <w:szCs w:val="24"/>
          <w:rtl w:val="0"/>
        </w:rPr>
        <w:t xml:space="preserve">, calculan “que el total de horas trabajadas a escala mundial en 2022 se mantendrá casi un 2 por ciento por debajo de su nivel prepandémico una vez ajustado al crecimiento de la población, lo que corresponde a un déficit equivalente a 52 millones de puestos de trabajo a tiempo completo (tomando como referencia una semana laboral de 48 horas). Se prevé que el desempleo mundial se sitúe en 207 millones en 2022, es decir, que supere su nivel de 2019 en unos 21 millones” (Organización Internacional del Trabajo - OIT, 2022).</w:t>
      </w:r>
    </w:p>
    <w:p w:rsidR="00000000" w:rsidDel="00000000" w:rsidP="00000000" w:rsidRDefault="00000000" w:rsidRPr="00000000" w14:paraId="00000078">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Esta insuficiencia de puestos y horas de trabajo viene a añadirse a los persistentes niveles de desocupación, subutilización de la mano de obra y condiciones de trabajo deficientes anteriores a la crisis. Estos fenómenos se explican por las mismas leyes del sistema capitalista, en un momento de máximo desarrollo de las fuerzas productivas:</w:t>
      </w:r>
    </w:p>
    <w:p w:rsidR="00000000" w:rsidDel="00000000" w:rsidP="00000000" w:rsidRDefault="00000000" w:rsidRPr="00000000" w14:paraId="00000079">
      <w:pPr>
        <w:spacing w:after="0" w:line="276" w:lineRule="auto"/>
        <w:ind w:left="850" w:firstLine="0"/>
        <w:jc w:val="both"/>
        <w:rPr>
          <w:rFonts w:ascii="Arial" w:cs="Arial" w:eastAsia="Arial" w:hAnsi="Arial"/>
        </w:rPr>
      </w:pPr>
      <w:r w:rsidDel="00000000" w:rsidR="00000000" w:rsidRPr="00000000">
        <w:rPr>
          <w:rFonts w:ascii="Arial" w:cs="Arial" w:eastAsia="Arial" w:hAnsi="Arial"/>
          <w:rtl w:val="0"/>
        </w:rPr>
        <w:t xml:space="preserve">El desarrollo exponencial de la técnica, abre la posibilidad de llevar a un mínimo el trabajo humano necesario: se vuelve cualitativamente imprescindible pero se reduce cuantitativamente, subalterno ya frente al trabajo científico general, a la aplicación tecnológica de las ciencias naturales y frente a la fuerza productiva resultante de la estructuración global (Aguilera, 3 de junio de 2022). </w:t>
      </w:r>
    </w:p>
    <w:p w:rsidR="00000000" w:rsidDel="00000000" w:rsidP="00000000" w:rsidRDefault="00000000" w:rsidRPr="00000000" w14:paraId="0000007A">
      <w:pPr>
        <w:spacing w:after="0" w:line="276" w:lineRule="auto"/>
        <w:ind w:left="85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esta manera, se profundiza la brecha entre una clase trabajadora ultra calificada o hiperespecializada, asociada al desarrollo de las plataformas digitales y la tecnología de punta, y un ejército de trabajadores con “saberes obsoletos” condenados a la precariedad, que conforman como remanente, lo que llaman una “clase inútil” (Giménez y Caciabue, 18 de junio de 2022). Sin embargo, el sistema tensiona a las grandes masas trabajadoras a que permanezcan en contacto con las plataformas sociales como “usuarios”, en lo que parece ser la constitución de las “nuevas fábricas” digitales.</w:t>
      </w:r>
    </w:p>
    <w:p w:rsidR="00000000" w:rsidDel="00000000" w:rsidP="00000000" w:rsidRDefault="00000000" w:rsidRPr="00000000" w14:paraId="0000007C">
      <w:pP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tiempo de claroscuros, los grandes avances de estas “nuevas fábricas” generan condiciones extraordinarias de producción y apropiación de riquezas basadas en el tiempo no pago que dedicamos frente a nuestras múltiples pantallas, posibilitando un lucro excepcional y una capacidad de moldear los comportamientos de la humanidad de una manera cada vez más sofisticada.</w:t>
      </w:r>
    </w:p>
    <w:p w:rsidR="00000000" w:rsidDel="00000000" w:rsidP="00000000" w:rsidRDefault="00000000" w:rsidRPr="00000000" w14:paraId="0000007D">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política del miedo se ha consolidado también como una de las consecuencias que más incidirá a largo plazo. En un estado de guerra multidimensional, el control de nuestros cuerpos y nuestras mentes se vuelve un objetivo estratégico.  El miedo se vuelve un arma poderosa de control social. Los medios de comunicación y las redes sociales, afectan la psiquis colectiva, desarticulan el tejido social y manipulan la opinión pública.</w:t>
      </w:r>
    </w:p>
    <w:p w:rsidR="00000000" w:rsidDel="00000000" w:rsidP="00000000" w:rsidRDefault="00000000" w:rsidRPr="00000000" w14:paraId="0000007E">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Depresión, pánico, ansiedad, angustia, fobias, son los diagnósticos frecuentes que, en 2020, impulsaron un aumento del consumo de psicofármacos. Solamente en Argentina, durante la pandemia de Covid-19, el clonazepan y el alprazolam, se situaron entre los 15 psicotrópicos más vendidos en el país, y “las dispensas de los productos de este grupo farmacológico aumentaron un 6,5%, es decir que el mercado de este grupo se extendió en 6.990.573 unidades” (Observatorio de Salud, Medicamentos y Sociedad, COFA, 2021).</w:t>
      </w:r>
    </w:p>
    <w:p w:rsidR="00000000" w:rsidDel="00000000" w:rsidP="00000000" w:rsidRDefault="00000000" w:rsidRPr="00000000" w14:paraId="0000007F">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evidente que las consecuencias de este proceso de concentración económica afectan de manera significativa y particularmente a las clases subalternas, cada vez más enajenadas, más separadas de su producción.</w:t>
      </w:r>
    </w:p>
    <w:p w:rsidR="00000000" w:rsidDel="00000000" w:rsidP="00000000" w:rsidRDefault="00000000" w:rsidRPr="00000000" w14:paraId="00000080">
      <w:pPr>
        <w:shd w:fill="ffffff" w:val="clea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81">
      <w:pPr>
        <w:shd w:fill="ffffff" w:val="clea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w:t>
      </w:r>
    </w:p>
    <w:p w:rsidR="00000000" w:rsidDel="00000000" w:rsidP="00000000" w:rsidRDefault="00000000" w:rsidRPr="00000000" w14:paraId="00000082">
      <w:pPr>
        <w:shd w:fill="ffffff" w:val="clear"/>
        <w:spacing w:after="0" w:line="276"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Hacia otra democracia</w:t>
      </w:r>
    </w:p>
    <w:p w:rsidR="00000000" w:rsidDel="00000000" w:rsidP="00000000" w:rsidRDefault="00000000" w:rsidRPr="00000000" w14:paraId="00000083">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84">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el desarrollo alcanzado a nivel científico y tecnológico, la humanidad podría vivir en la prosperidad. Las personas podrían gozar del “buen vivir”, en condiciones ambientales, sanitarias, educativas, sociales y laborales dignas, tejiendo redes territoriales, respetando la naturaleza y a los otros, consolidando otra forma de diseñar la sociedad humana.</w:t>
      </w:r>
    </w:p>
    <w:p w:rsidR="00000000" w:rsidDel="00000000" w:rsidP="00000000" w:rsidRDefault="00000000" w:rsidRPr="00000000" w14:paraId="00000085">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Una Comunidad Organizada, que aproveche la libertad potencial que otorga el actual desarrollo tecnológico, donde el tiempo de trabajo necesario para la producción de las riquezas sociales es cada vez más reducido. No por nada cientos de centrales sindicales a nivel mundial están luchando por un salario básico universal y por jornadas laborales reducidas y/o semanas de trabajo de menos de 4 días.</w:t>
      </w:r>
    </w:p>
    <w:p w:rsidR="00000000" w:rsidDel="00000000" w:rsidP="00000000" w:rsidRDefault="00000000" w:rsidRPr="00000000" w14:paraId="00000086">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los procesos de acumulación y concentración, inherentes al desarrollo del capitalismo como sistema, sólo son posibles a costa del hambre y el sufrimiento de enormes mayorías. El capital sabe que la explotación económica es también la variable principal de la dominación política. La revolución tecnológica acelera el proceso de apropiación de riquezas por esos pocos milmillonarios, algo que el discurso “libertario” contemporáneo plantea como “digno”, “natural” e “inevitable” y, por lo tanto, imposible de modificar.</w:t>
      </w:r>
    </w:p>
    <w:p w:rsidR="00000000" w:rsidDel="00000000" w:rsidP="00000000" w:rsidRDefault="00000000" w:rsidRPr="00000000" w14:paraId="00000087">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democracia liberal ha entrado en crisis y, con ella, aparecen los fenómenos más monstruosos, como el neofascismo que empezó a predicar la ultraderecha mundial. Allí aparecieron grandes intérpretes de esta nueva fase del modo de producción capitalista, como Steve Bannon, director del portal de noticias ultraconservador Breitbart News y principal promotor del “Movimiento de la Alt-Right” o “derecha alternativa”; Jared Kushner, yerno de Donald Trump y fundador de “Project Alamo”; y Santiago Abascal, el político de filiación franquista que fundó el Partido Vox en España.</w:t>
      </w:r>
    </w:p>
    <w:p w:rsidR="00000000" w:rsidDel="00000000" w:rsidP="00000000" w:rsidRDefault="00000000" w:rsidRPr="00000000" w14:paraId="00000088">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América Latina, Jaime Durán Barba, el conocido consultor ecuatoriano de Macri, Lasso y tantos otros, Eduardo Bolsonaro, el hijo y estratega de su padre en Brasil, Marcos Peña, Patricia Bullrich, Fulvio Pompeo y Agustín Laje en Argentina, son grandes operadores de una red política e ideológica global que promete fumigar con violencia la democracia latinoamericana, cargada de deudas y de pendientes para con sus sociedades.</w:t>
      </w:r>
    </w:p>
    <w:p w:rsidR="00000000" w:rsidDel="00000000" w:rsidP="00000000" w:rsidRDefault="00000000" w:rsidRPr="00000000" w14:paraId="00000089">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Neofascismo no es un fenómeno coyuntural. Su rápida emergencia está determinada por una causalidad orgánica. Desde la llegada de Donald Trump a la Casa Blanca en 2016 se empezó a observar, en más de un país del mundo y especialmente en América Latina, la constitución de fuerzas sociales, armadas moral y materialmente en una clave neofascista. Es decir, no son sólo figuras “monstruosas” en las políticas domésticas de cada país. Son actores políticos que expresan en el sistema institucional la articulación de actores económicos, financieros, mediáticos y de inteligencia (disfrazados de Consultoras, Centros de Estudios y Fundaciones), y múltiples expresiones de masas, como el neopentecontalismo evangélico, y hasta de “choque” callejero, como el paramilitarismo, el narcotráfico y los “grupos de tareas” que accionan violentamente cuando es necesario. Recientemente se supo, por ejemplo, que en Brasil existen alrededor de 530 grupos neofascistas.</w:t>
      </w:r>
    </w:p>
    <w:p w:rsidR="00000000" w:rsidDel="00000000" w:rsidP="00000000" w:rsidRDefault="00000000" w:rsidRPr="00000000" w14:paraId="0000008A">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las expresiones más clásicas de los Fascismos del siglo XX, el Neofascismo tiene en común esa agitación social, particularmente de las clases medias empobrecidas, y la constitución de peligrosas fuerzas de choque paraestatales. Los Camisas Negras del fascismo italiano son ahora los “Proud Boy´s” o los “Oath Keepers” del trumpismo, el “Batallón Azov” del ultranacionalismo ucraniano, los Carteles del Narcotráfico y sus fuerzas armadas privadas que logran controlar territorios es países como Colombia, México o el llamado Triángulo Norte de Centroamérica, las fuerzas parapoliciales vinculadas al bolsonarismo que asesinaron a Marielle Franco, la famosa concejala del feminismo popular de la Ciudad de Río de Janeiro, y hasta el grupo “Revolución Federal” que estuvo detrás del intento de magnicidio de Cristina Fernández de Kirchner el pasado jueves 1 de septiembre.</w:t>
      </w:r>
    </w:p>
    <w:p w:rsidR="00000000" w:rsidDel="00000000" w:rsidP="00000000" w:rsidRDefault="00000000" w:rsidRPr="00000000" w14:paraId="0000008B">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neofascismo de distintivo y particular tiene, sin embargo, un nacionalismo de cartón y un furibundo antiestatismo, propio de una férrea defensa del dogma neoliberal (citas de Von Hayek o Friedman, incluidas) y de un capitalismo irreversiblemente transnacionalizado. En algún punto, este neofascismo es la expresión ideológica reaccionaria al “desorden” que viene imponiendo la emergencia económica, financiera, tecnológica y digital de China en “Occidente”.</w:t>
      </w:r>
    </w:p>
    <w:p w:rsidR="00000000" w:rsidDel="00000000" w:rsidP="00000000" w:rsidRDefault="00000000" w:rsidRPr="00000000" w14:paraId="0000008C">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discurso de odio del neofascismo, que articula racismo, patriarcalismo, negacionismo, anticienficisismo y clasismo, es un enorme peligro para la humanidad. Sin embargo, la contrapropuesta hegemónica mundial, ese progresismo globalista, moralista, políticamente correcto, centrista, feminista de Netflix, no deja de ser igual de peligroso y claudicante para los Pueblos.</w:t>
      </w:r>
    </w:p>
    <w:p w:rsidR="00000000" w:rsidDel="00000000" w:rsidP="00000000" w:rsidRDefault="00000000" w:rsidRPr="00000000" w14:paraId="0000008D">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prensa hegemónica mundial se encarga de reproducir las imágenes y los discursos de los líderes asociados al neofascismo, al que se contrapone antinómicamente un proyecto de “democracia occidental”, republicanista, en lucha contra las “autocracias” y los “populismos”. Son las “palomas” contra los “halcones”, ese progresismo globalista como matriz político-ideológica de las fuerzas de un bloque de capital angloamericano que puja por dar el salto definitivo a esta nueva fase del capitalismo y resolver la crisis sistémica.</w:t>
      </w:r>
    </w:p>
    <w:p w:rsidR="00000000" w:rsidDel="00000000" w:rsidP="00000000" w:rsidRDefault="00000000" w:rsidRPr="00000000" w14:paraId="0000008E">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progresismo globalista impone su consenso y, cuando no alcanza, también golpea con el garrote y con la denominada “cultura de la cancelación”. Un discurso de paz detrás de una OTAN que hace la guerra, para que aparezcan las paradojas. Trump, figura combatida por las “palomas”, es el presidente de los EEUU que menos decisiones “pro guerra” ha tomado en su mandato. Le Pen aparece demonizada ante un Macron, que ha promovido la guerra en el Sahel africano y no se cansa de asistir financiera y militarmente al neofascista de Zelensky en Ucrania (€300 millones y material bélico), mientras que por casa ya ha dado sobradas muestras represivas contra las manifestaciones que desarrollaron, en suelo francés, los Chalecos Amarillos y los sindicatos.</w:t>
      </w:r>
    </w:p>
    <w:p w:rsidR="00000000" w:rsidDel="00000000" w:rsidP="00000000" w:rsidRDefault="00000000" w:rsidRPr="00000000" w14:paraId="0000008F">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tiempo de crisis, donde se está pariendo un nuevo momento del capitalismo, ha puesto a la democracia en el banquillo de los acusados. La tradición liberal que la sostiene ha recibido impugnaciones contundentes por parte de un proceso económico estructural, mientras que las elites de la aristocracia financiera y tecnológica, que gobierna el mundo, confía más en la virtualidad que en la democracia para construir, sostener y recrear su dominación hegemónica.</w:t>
      </w:r>
    </w:p>
    <w:p w:rsidR="00000000" w:rsidDel="00000000" w:rsidP="00000000" w:rsidRDefault="00000000" w:rsidRPr="00000000" w14:paraId="00000090">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Surge, entonces, la oportunidad de redefinir, en cada país y mundialmente, los contornos y límites de la democracia, como otro sistema de gobierno, apalancada en no en la “representatividad” o en la “electividad”, sino en la participación protagónica de las mayorías sociales, con la fuerza de trabajadores, jóvenes, campesinos, desocupados y, especialmente, de las mujeres, el sujeto social más dinámico y desobediente del orden social establecido</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1">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Sobran fundamentos estructurales, políticos e ideológicos para pensar que el feminismo, en una gran alianza social y política de las clases subalternas, puedan ser protagonistas de otra democracia, de otra forma de organización de lo político, con preeminencia de lo social, lo popular y lo comunal.</w:t>
      </w:r>
    </w:p>
    <w:p w:rsidR="00000000" w:rsidDel="00000000" w:rsidP="00000000" w:rsidRDefault="00000000" w:rsidRPr="00000000" w14:paraId="00000092">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Las diversas propuestas sobre Salario Básico Universal y Reducción de la Jornada Laboral son iniciativas que, aunque válidas, se configuran como paliativo a este nudo gordiano que, por lejos, las trasciende. Creemos que el interrogante que se abre debe ser acompañado por una profunda discusión sobre el régimen de propiedad de los sectores estratégicos de la economía contemporánea, y cómo los sectores económicos “intensivos en conocimiento” se apropian de riquezas que la humanidad toda produce en la digitalización y virtualización de la vida económica, política y social.</w:t>
      </w:r>
    </w:p>
    <w:p w:rsidR="00000000" w:rsidDel="00000000" w:rsidP="00000000" w:rsidRDefault="00000000" w:rsidRPr="00000000" w14:paraId="00000093">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pesar de que la automatización de los procesos productivos llegue a límites impensados, los seres humanos seguimos siendo los únicos capaces de producir riqueza. Es el trabajo social, en su acepción más amplia, la actividad creadora que posibilita el mismo desarrollo científico y tecnológico. Hay que preguntarse, entonces, si la misma estará al servicio del bienestar de los y las que trabajan o seguirá bajo la lógica de un capitalismo en el que cada vez la frazada es más corta.</w:t>
      </w:r>
    </w:p>
    <w:p w:rsidR="00000000" w:rsidDel="00000000" w:rsidP="00000000" w:rsidRDefault="00000000" w:rsidRPr="00000000" w14:paraId="00000094">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historia es siempre producto de la acción. Eso habilita el desarrollo de una individualidad comunitaria, colectiva, generadora de conciencia social y promotora de crisis con la matriz de la “sed por dinero sin dinero”, generando condiciones para que esa “sed” se colectivice y rompa los lazos místicos, mágicos aprehendidos e impuestos. Observar el fondo, tiene que ver con la capacidad de romper con el sentido común.</w:t>
      </w:r>
    </w:p>
    <w:p w:rsidR="00000000" w:rsidDel="00000000" w:rsidP="00000000" w:rsidRDefault="00000000" w:rsidRPr="00000000" w14:paraId="00000095">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cuerpos predispuestos a lo colectivo, lo comunitario, establecen una relación material con la realidad. Se conforman como sujetos, estableciendo la relación con los objetos del mundo, ya no mediada por la necesidad ajena de ser un cuerpo que produce y consume, que es “representado” en una democracia que enajena su voluntad, sino por la necesidad organizada de ser un cuerpo productor de poder, para una democracia participativa y protagónica, que le permita transformar las relaciones sociales de producción en su favor, develar sus fuerzas místicas, y que caiga la máscara que no deja ver, de una vez y para siempre.</w:t>
      </w:r>
    </w:p>
    <w:p w:rsidR="00000000" w:rsidDel="00000000" w:rsidP="00000000" w:rsidRDefault="00000000" w:rsidRPr="00000000" w14:paraId="00000096">
      <w:pPr>
        <w:shd w:fill="ffffff" w:val="clear"/>
        <w:spacing w:after="0" w:line="276"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7">
      <w:pPr>
        <w:spacing w:after="0" w:before="240"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spacing w:after="0" w:before="240" w:line="276" w:lineRule="auto"/>
        <w:jc w:val="both"/>
        <w:rPr>
          <w:rFonts w:ascii="Arial" w:cs="Arial" w:eastAsia="Arial" w:hAnsi="Arial"/>
          <w:sz w:val="24"/>
          <w:szCs w:val="24"/>
        </w:rPr>
      </w:pPr>
      <w:bookmarkStart w:colFirst="0" w:colLast="0" w:name="_30j0zll" w:id="1"/>
      <w:bookmarkEnd w:id="1"/>
      <w:r w:rsidDel="00000000" w:rsidR="00000000" w:rsidRPr="00000000">
        <w:rPr>
          <w:rFonts w:ascii="Arial" w:cs="Arial" w:eastAsia="Arial" w:hAnsi="Arial"/>
          <w:b w:val="1"/>
          <w:color w:val="000000"/>
          <w:sz w:val="24"/>
          <w:szCs w:val="24"/>
          <w:rtl w:val="0"/>
        </w:rPr>
        <w:t xml:space="preserve">Bibliografía</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9">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Agencia Télam. (12 de abril de 2022). </w:t>
      </w:r>
      <w:r w:rsidDel="00000000" w:rsidR="00000000" w:rsidRPr="00000000">
        <w:rPr>
          <w:rFonts w:ascii="Arial" w:cs="Arial" w:eastAsia="Arial" w:hAnsi="Arial"/>
          <w:i w:val="1"/>
          <w:sz w:val="24"/>
          <w:szCs w:val="24"/>
          <w:rtl w:val="0"/>
        </w:rPr>
        <w:t xml:space="preserve">Más de 260 millones de personas caerán este año en la pobreza extrema en el mundo.</w:t>
      </w:r>
      <w:r w:rsidDel="00000000" w:rsidR="00000000" w:rsidRPr="00000000">
        <w:rPr>
          <w:rFonts w:ascii="Arial" w:cs="Arial" w:eastAsia="Arial" w:hAnsi="Arial"/>
          <w:sz w:val="24"/>
          <w:szCs w:val="24"/>
          <w:rtl w:val="0"/>
        </w:rPr>
        <w:t xml:space="preserve"> Obtenido de Télam: </w:t>
      </w:r>
      <w:hyperlink r:id="rId10">
        <w:r w:rsidDel="00000000" w:rsidR="00000000" w:rsidRPr="00000000">
          <w:rPr>
            <w:rFonts w:ascii="Arial" w:cs="Arial" w:eastAsia="Arial" w:hAnsi="Arial"/>
            <w:sz w:val="24"/>
            <w:szCs w:val="24"/>
            <w:rtl w:val="0"/>
          </w:rPr>
          <w:t xml:space="preserve">https://www.telam.com.ar/notas/202204/589285-260-millones-nuevos-pobres-2022-oxfam.html</w:t>
        </w:r>
      </w:hyperlink>
      <w:r w:rsidDel="00000000" w:rsidR="00000000" w:rsidRPr="00000000">
        <w:rPr>
          <w:rtl w:val="0"/>
        </w:rPr>
      </w:r>
    </w:p>
    <w:p w:rsidR="00000000" w:rsidDel="00000000" w:rsidP="00000000" w:rsidRDefault="00000000" w:rsidRPr="00000000" w14:paraId="0000009A">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Aguilera, L. (3 de junio de 2022). </w:t>
      </w:r>
      <w:r w:rsidDel="00000000" w:rsidR="00000000" w:rsidRPr="00000000">
        <w:rPr>
          <w:rFonts w:ascii="Arial" w:cs="Arial" w:eastAsia="Arial" w:hAnsi="Arial"/>
          <w:i w:val="1"/>
          <w:sz w:val="24"/>
          <w:szCs w:val="24"/>
          <w:rtl w:val="0"/>
        </w:rPr>
        <w:t xml:space="preserve">La sed del dinero sin dinero.</w:t>
      </w:r>
      <w:r w:rsidDel="00000000" w:rsidR="00000000" w:rsidRPr="00000000">
        <w:rPr>
          <w:rFonts w:ascii="Arial" w:cs="Arial" w:eastAsia="Arial" w:hAnsi="Arial"/>
          <w:sz w:val="24"/>
          <w:szCs w:val="24"/>
          <w:rtl w:val="0"/>
        </w:rPr>
        <w:t xml:space="preserve"> Centro Latinoamericano de Análisis Estratégico. Obtenido de Estrategia.la: https://estrategia.la/2022/06/03/la-sed-del-dinero-sin-dinero/</w:t>
      </w:r>
    </w:p>
    <w:p w:rsidR="00000000" w:rsidDel="00000000" w:rsidP="00000000" w:rsidRDefault="00000000" w:rsidRPr="00000000" w14:paraId="0000009B">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Asborno, M. (1993). </w:t>
      </w:r>
      <w:r w:rsidDel="00000000" w:rsidR="00000000" w:rsidRPr="00000000">
        <w:rPr>
          <w:rFonts w:ascii="Arial" w:cs="Arial" w:eastAsia="Arial" w:hAnsi="Arial"/>
          <w:i w:val="1"/>
          <w:sz w:val="24"/>
          <w:szCs w:val="24"/>
          <w:rtl w:val="0"/>
        </w:rPr>
        <w:t xml:space="preserve">La Moderna Aristocracia Financiera.</w:t>
      </w:r>
      <w:r w:rsidDel="00000000" w:rsidR="00000000" w:rsidRPr="00000000">
        <w:rPr>
          <w:rFonts w:ascii="Arial" w:cs="Arial" w:eastAsia="Arial" w:hAnsi="Arial"/>
          <w:sz w:val="24"/>
          <w:szCs w:val="24"/>
          <w:rtl w:val="0"/>
        </w:rPr>
        <w:t xml:space="preserve"> Buenos Aires: El Bloque.</w:t>
      </w:r>
    </w:p>
    <w:p w:rsidR="00000000" w:rsidDel="00000000" w:rsidP="00000000" w:rsidRDefault="00000000" w:rsidRPr="00000000" w14:paraId="0000009C">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Baldiviezo, J., &amp; Koutsovitis, M. E. (31 de enero de 2022). </w:t>
      </w:r>
      <w:r w:rsidDel="00000000" w:rsidR="00000000" w:rsidRPr="00000000">
        <w:rPr>
          <w:rFonts w:ascii="Arial" w:cs="Arial" w:eastAsia="Arial" w:hAnsi="Arial"/>
          <w:i w:val="1"/>
          <w:sz w:val="24"/>
          <w:szCs w:val="24"/>
          <w:rtl w:val="0"/>
        </w:rPr>
        <w:t xml:space="preserve">La desigualdad en el mundo y la debilidad democrática.</w:t>
      </w:r>
      <w:r w:rsidDel="00000000" w:rsidR="00000000" w:rsidRPr="00000000">
        <w:rPr>
          <w:rFonts w:ascii="Arial" w:cs="Arial" w:eastAsia="Arial" w:hAnsi="Arial"/>
          <w:sz w:val="24"/>
          <w:szCs w:val="24"/>
          <w:rtl w:val="0"/>
        </w:rPr>
        <w:t xml:space="preserve"> Obtenido de El grito del Sur: https://elgritodelsur.com.ar/2022/01/la-desigualdad-en-el-mundo-y-la-debilidad-democratica.html</w:t>
      </w:r>
    </w:p>
    <w:p w:rsidR="00000000" w:rsidDel="00000000" w:rsidP="00000000" w:rsidRDefault="00000000" w:rsidRPr="00000000" w14:paraId="0000009D">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Balvé, B. (2009). </w:t>
      </w:r>
      <w:r w:rsidDel="00000000" w:rsidR="00000000" w:rsidRPr="00000000">
        <w:rPr>
          <w:rFonts w:ascii="Arial" w:cs="Arial" w:eastAsia="Arial" w:hAnsi="Arial"/>
          <w:i w:val="1"/>
          <w:sz w:val="24"/>
          <w:szCs w:val="24"/>
          <w:rtl w:val="0"/>
        </w:rPr>
        <w:t xml:space="preserve">Poder-Guerra: Argentina, acerca de la cuestión nacional.</w:t>
      </w:r>
      <w:r w:rsidDel="00000000" w:rsidR="00000000" w:rsidRPr="00000000">
        <w:rPr>
          <w:rFonts w:ascii="Arial" w:cs="Arial" w:eastAsia="Arial" w:hAnsi="Arial"/>
          <w:sz w:val="24"/>
          <w:szCs w:val="24"/>
          <w:rtl w:val="0"/>
        </w:rPr>
        <w:t xml:space="preserve"> Buenos Aires: CICSO Ediciones.</w:t>
      </w:r>
    </w:p>
    <w:p w:rsidR="00000000" w:rsidDel="00000000" w:rsidP="00000000" w:rsidRDefault="00000000" w:rsidRPr="00000000" w14:paraId="0000009E">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Chancel, L. P., &amp; al, e. (2022). </w:t>
      </w:r>
      <w:r w:rsidDel="00000000" w:rsidR="00000000" w:rsidRPr="00000000">
        <w:rPr>
          <w:rFonts w:ascii="Arial" w:cs="Arial" w:eastAsia="Arial" w:hAnsi="Arial"/>
          <w:i w:val="1"/>
          <w:sz w:val="24"/>
          <w:szCs w:val="24"/>
          <w:rtl w:val="0"/>
        </w:rPr>
        <w:t xml:space="preserve">World Inequality Report 2022.</w:t>
      </w:r>
      <w:r w:rsidDel="00000000" w:rsidR="00000000" w:rsidRPr="00000000">
        <w:rPr>
          <w:rFonts w:ascii="Arial" w:cs="Arial" w:eastAsia="Arial" w:hAnsi="Arial"/>
          <w:sz w:val="24"/>
          <w:szCs w:val="24"/>
          <w:rtl w:val="0"/>
        </w:rPr>
        <w:t xml:space="preserve"> Obtenido de World Inequality Lab: https://wir2022.wid.world/download/</w:t>
      </w:r>
    </w:p>
    <w:p w:rsidR="00000000" w:rsidDel="00000000" w:rsidP="00000000" w:rsidRDefault="00000000" w:rsidRPr="00000000" w14:paraId="0000009F">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Data Reportal. (abril de 2022). </w:t>
      </w:r>
      <w:r w:rsidDel="00000000" w:rsidR="00000000" w:rsidRPr="00000000">
        <w:rPr>
          <w:rFonts w:ascii="Arial" w:cs="Arial" w:eastAsia="Arial" w:hAnsi="Arial"/>
          <w:i w:val="1"/>
          <w:sz w:val="24"/>
          <w:szCs w:val="24"/>
          <w:rtl w:val="0"/>
        </w:rPr>
        <w:t xml:space="preserve">Digital 2022: Informe General Global.</w:t>
      </w:r>
      <w:r w:rsidDel="00000000" w:rsidR="00000000" w:rsidRPr="00000000">
        <w:rPr>
          <w:rFonts w:ascii="Arial" w:cs="Arial" w:eastAsia="Arial" w:hAnsi="Arial"/>
          <w:sz w:val="24"/>
          <w:szCs w:val="24"/>
          <w:rtl w:val="0"/>
        </w:rPr>
        <w:t xml:space="preserve"> Obtenido de Data Reportal: https://datareportal.com/reports/digital-2022-global-overview-report</w:t>
      </w:r>
    </w:p>
    <w:p w:rsidR="00000000" w:rsidDel="00000000" w:rsidP="00000000" w:rsidRDefault="00000000" w:rsidRPr="00000000" w14:paraId="000000A0">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País. (2 de enero de 2022). </w:t>
      </w:r>
      <w:r w:rsidDel="00000000" w:rsidR="00000000" w:rsidRPr="00000000">
        <w:rPr>
          <w:rFonts w:ascii="Arial" w:cs="Arial" w:eastAsia="Arial" w:hAnsi="Arial"/>
          <w:i w:val="1"/>
          <w:sz w:val="24"/>
          <w:szCs w:val="24"/>
          <w:rtl w:val="0"/>
        </w:rPr>
        <w:t xml:space="preserve">¿Cuál es la empresa más grande del mundo? Ranking 2021</w:t>
      </w:r>
      <w:r w:rsidDel="00000000" w:rsidR="00000000" w:rsidRPr="00000000">
        <w:rPr>
          <w:rFonts w:ascii="Arial" w:cs="Arial" w:eastAsia="Arial" w:hAnsi="Arial"/>
          <w:sz w:val="24"/>
          <w:szCs w:val="24"/>
          <w:rtl w:val="0"/>
        </w:rPr>
        <w:t xml:space="preserve">. Obtenido de El País: https://cincodias.elpais.com/cincodias/2021/12/30/companias/1640886339_354215.html</w:t>
      </w:r>
    </w:p>
    <w:p w:rsidR="00000000" w:rsidDel="00000000" w:rsidP="00000000" w:rsidRDefault="00000000" w:rsidRPr="00000000" w14:paraId="000000A1">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Fundación ACNUR Argentina. (23 de mayo de 2022). </w:t>
      </w:r>
      <w:r w:rsidDel="00000000" w:rsidR="00000000" w:rsidRPr="00000000">
        <w:rPr>
          <w:rFonts w:ascii="Arial" w:cs="Arial" w:eastAsia="Arial" w:hAnsi="Arial"/>
          <w:i w:val="1"/>
          <w:sz w:val="24"/>
          <w:szCs w:val="24"/>
          <w:rtl w:val="0"/>
        </w:rPr>
        <w:t xml:space="preserve">"Cifra brutal: Más de 100 millones de personas se encuentran desplazadas en el mundo".</w:t>
      </w:r>
      <w:r w:rsidDel="00000000" w:rsidR="00000000" w:rsidRPr="00000000">
        <w:rPr>
          <w:rFonts w:ascii="Arial" w:cs="Arial" w:eastAsia="Arial" w:hAnsi="Arial"/>
          <w:sz w:val="24"/>
          <w:szCs w:val="24"/>
          <w:rtl w:val="0"/>
        </w:rPr>
        <w:t xml:space="preserve"> Obtenido de ACNUR: https://fundacionacnur.org/novedades/noticias/cifra-brutal-mas-de-100-millones-de-personas-se-encuentran-desplazadas-en-el-mundo/</w:t>
      </w:r>
    </w:p>
    <w:p w:rsidR="00000000" w:rsidDel="00000000" w:rsidP="00000000" w:rsidRDefault="00000000" w:rsidRPr="00000000" w14:paraId="000000A2">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García Linera, Á. (2008). </w:t>
      </w:r>
      <w:r w:rsidDel="00000000" w:rsidR="00000000" w:rsidRPr="00000000">
        <w:rPr>
          <w:rFonts w:ascii="Arial" w:cs="Arial" w:eastAsia="Arial" w:hAnsi="Arial"/>
          <w:i w:val="1"/>
          <w:sz w:val="24"/>
          <w:szCs w:val="24"/>
          <w:rtl w:val="0"/>
        </w:rPr>
        <w:t xml:space="preserve">La potencia plebeya.</w:t>
      </w:r>
      <w:r w:rsidDel="00000000" w:rsidR="00000000" w:rsidRPr="00000000">
        <w:rPr>
          <w:rFonts w:ascii="Arial" w:cs="Arial" w:eastAsia="Arial" w:hAnsi="Arial"/>
          <w:sz w:val="24"/>
          <w:szCs w:val="24"/>
          <w:rtl w:val="0"/>
        </w:rPr>
        <w:t xml:space="preserve"> Buenos Aires: Prometeo.</w:t>
      </w:r>
    </w:p>
    <w:p w:rsidR="00000000" w:rsidDel="00000000" w:rsidP="00000000" w:rsidRDefault="00000000" w:rsidRPr="00000000" w14:paraId="000000A3">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Giménez, P. y Caciabue, M. (18 de junio de 2022). </w:t>
      </w:r>
      <w:r w:rsidDel="00000000" w:rsidR="00000000" w:rsidRPr="00000000">
        <w:rPr>
          <w:rFonts w:ascii="Arial" w:cs="Arial" w:eastAsia="Arial" w:hAnsi="Arial"/>
          <w:i w:val="1"/>
          <w:sz w:val="24"/>
          <w:szCs w:val="24"/>
          <w:rtl w:val="0"/>
        </w:rPr>
        <w:t xml:space="preserve">Algoritmos sensibles, élites insensibles. El problema de raíz del capitalismo 4.0.</w:t>
      </w:r>
      <w:r w:rsidDel="00000000" w:rsidR="00000000" w:rsidRPr="00000000">
        <w:rPr>
          <w:rFonts w:ascii="Arial" w:cs="Arial" w:eastAsia="Arial" w:hAnsi="Arial"/>
          <w:sz w:val="24"/>
          <w:szCs w:val="24"/>
          <w:rtl w:val="0"/>
        </w:rPr>
        <w:t xml:space="preserve"> Centro Latinoamericano de Análisis Estratégico. Obtenido de Estrategia.la: https://estrategia.la/2022/06/18/algoritmo-sensible-elites-insensibles-el-problema-de-raiz-del-capitalismo-4-0/</w:t>
      </w:r>
    </w:p>
    <w:p w:rsidR="00000000" w:rsidDel="00000000" w:rsidP="00000000" w:rsidRDefault="00000000" w:rsidRPr="00000000" w14:paraId="000000A4">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Giménez, P. y Caciabue, M. (15 de abril de 2022). </w:t>
      </w:r>
      <w:r w:rsidDel="00000000" w:rsidR="00000000" w:rsidRPr="00000000">
        <w:rPr>
          <w:rFonts w:ascii="Arial" w:cs="Arial" w:eastAsia="Arial" w:hAnsi="Arial"/>
          <w:i w:val="1"/>
          <w:sz w:val="24"/>
          <w:szCs w:val="24"/>
          <w:rtl w:val="0"/>
        </w:rPr>
        <w:t xml:space="preserve">De neofascismos y ultraderechas: el monstruo del claroscuro.</w:t>
      </w:r>
      <w:r w:rsidDel="00000000" w:rsidR="00000000" w:rsidRPr="00000000">
        <w:rPr>
          <w:rFonts w:ascii="Arial" w:cs="Arial" w:eastAsia="Arial" w:hAnsi="Arial"/>
          <w:sz w:val="24"/>
          <w:szCs w:val="24"/>
          <w:rtl w:val="0"/>
        </w:rPr>
        <w:t xml:space="preserve"> El Destape. Obtenido de ElDstapeWeb: https://www.eldestapeweb.com/opinion/ultraderecha/de-neofascismos-y-ultraderechas-el-monstruo-del-claroscuro-20224150520</w:t>
      </w:r>
    </w:p>
    <w:p w:rsidR="00000000" w:rsidDel="00000000" w:rsidP="00000000" w:rsidRDefault="00000000" w:rsidRPr="00000000" w14:paraId="000000A5">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Han, B.-C. (2021). </w:t>
      </w:r>
      <w:r w:rsidDel="00000000" w:rsidR="00000000" w:rsidRPr="00000000">
        <w:rPr>
          <w:rFonts w:ascii="Arial" w:cs="Arial" w:eastAsia="Arial" w:hAnsi="Arial"/>
          <w:i w:val="1"/>
          <w:sz w:val="24"/>
          <w:szCs w:val="24"/>
          <w:rtl w:val="0"/>
        </w:rPr>
        <w:t xml:space="preserve">Psicopolítica.</w:t>
      </w:r>
      <w:r w:rsidDel="00000000" w:rsidR="00000000" w:rsidRPr="00000000">
        <w:rPr>
          <w:rFonts w:ascii="Arial" w:cs="Arial" w:eastAsia="Arial" w:hAnsi="Arial"/>
          <w:sz w:val="24"/>
          <w:szCs w:val="24"/>
          <w:rtl w:val="0"/>
        </w:rPr>
        <w:t xml:space="preserve"> Buenos Aires: Herder.</w:t>
      </w:r>
    </w:p>
    <w:p w:rsidR="00000000" w:rsidDel="00000000" w:rsidP="00000000" w:rsidRDefault="00000000" w:rsidRPr="00000000" w14:paraId="000000A6">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Infobae. (20 de octubre de 2018). </w:t>
      </w:r>
      <w:r w:rsidDel="00000000" w:rsidR="00000000" w:rsidRPr="00000000">
        <w:rPr>
          <w:rFonts w:ascii="Arial" w:cs="Arial" w:eastAsia="Arial" w:hAnsi="Arial"/>
          <w:i w:val="1"/>
          <w:sz w:val="24"/>
          <w:szCs w:val="24"/>
          <w:rtl w:val="0"/>
        </w:rPr>
        <w:t xml:space="preserve">Las tecnologías digitales están a punto de derrotar a la democracia y el orden social.</w:t>
      </w:r>
      <w:r w:rsidDel="00000000" w:rsidR="00000000" w:rsidRPr="00000000">
        <w:rPr>
          <w:rFonts w:ascii="Arial" w:cs="Arial" w:eastAsia="Arial" w:hAnsi="Arial"/>
          <w:sz w:val="24"/>
          <w:szCs w:val="24"/>
          <w:rtl w:val="0"/>
        </w:rPr>
        <w:t xml:space="preserve"> Obtenido de Infobae: https://www.infobae.com/america/tecno/2018/10/20/las-tecnologias-digitales-estan-a-punto-de-derrotar-a-la-democracia-y-el-orden-social/</w:t>
      </w:r>
    </w:p>
    <w:p w:rsidR="00000000" w:rsidDel="00000000" w:rsidP="00000000" w:rsidRDefault="00000000" w:rsidRPr="00000000" w14:paraId="000000A7">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Infobae. (28 de abril de 2021). </w:t>
      </w:r>
      <w:r w:rsidDel="00000000" w:rsidR="00000000" w:rsidRPr="00000000">
        <w:rPr>
          <w:rFonts w:ascii="Arial" w:cs="Arial" w:eastAsia="Arial" w:hAnsi="Arial"/>
          <w:i w:val="1"/>
          <w:sz w:val="24"/>
          <w:szCs w:val="24"/>
          <w:rtl w:val="0"/>
        </w:rPr>
        <w:t xml:space="preserve">"Joe Biden, en su primer discurso ante el Congreso: `Estamos en competencia con China y otros países para ganar el siglo XXI´".</w:t>
      </w:r>
      <w:r w:rsidDel="00000000" w:rsidR="00000000" w:rsidRPr="00000000">
        <w:rPr>
          <w:rFonts w:ascii="Arial" w:cs="Arial" w:eastAsia="Arial" w:hAnsi="Arial"/>
          <w:sz w:val="24"/>
          <w:szCs w:val="24"/>
          <w:rtl w:val="0"/>
        </w:rPr>
        <w:t xml:space="preserve"> Obtenido de Infobae: https://www.infobae.com/america/eeuu/2021/04/29/minuto-a-minuto-joe-biden-da-su-primer-discurso-ante-el-congreso-de-los-estados-unidos/</w:t>
      </w:r>
    </w:p>
    <w:p w:rsidR="00000000" w:rsidDel="00000000" w:rsidP="00000000" w:rsidRDefault="00000000" w:rsidRPr="00000000" w14:paraId="000000A8">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Kynge, J. (3 de febrero de 2021). </w:t>
      </w:r>
      <w:r w:rsidDel="00000000" w:rsidR="00000000" w:rsidRPr="00000000">
        <w:rPr>
          <w:rFonts w:ascii="Arial" w:cs="Arial" w:eastAsia="Arial" w:hAnsi="Arial"/>
          <w:i w:val="1"/>
          <w:sz w:val="24"/>
          <w:szCs w:val="24"/>
          <w:rtl w:val="0"/>
        </w:rPr>
        <w:t xml:space="preserve">US-China investment flows belie geopolitical tensions.</w:t>
      </w:r>
      <w:r w:rsidDel="00000000" w:rsidR="00000000" w:rsidRPr="00000000">
        <w:rPr>
          <w:rFonts w:ascii="Arial" w:cs="Arial" w:eastAsia="Arial" w:hAnsi="Arial"/>
          <w:sz w:val="24"/>
          <w:szCs w:val="24"/>
          <w:rtl w:val="0"/>
        </w:rPr>
        <w:t xml:space="preserve"> Obtenido de Financial Times: https://www.ft.com/content/b3dcc262-a153-4624-bc1d-156179d6e914</w:t>
      </w:r>
    </w:p>
    <w:p w:rsidR="00000000" w:rsidDel="00000000" w:rsidP="00000000" w:rsidRDefault="00000000" w:rsidRPr="00000000" w14:paraId="000000A9">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Lenin, V. (1977). </w:t>
      </w:r>
      <w:r w:rsidDel="00000000" w:rsidR="00000000" w:rsidRPr="00000000">
        <w:rPr>
          <w:rFonts w:ascii="Arial" w:cs="Arial" w:eastAsia="Arial" w:hAnsi="Arial"/>
          <w:i w:val="1"/>
          <w:sz w:val="24"/>
          <w:szCs w:val="24"/>
          <w:rtl w:val="0"/>
        </w:rPr>
        <w:t xml:space="preserve">Obras completas, tomo XXII. .</w:t>
      </w:r>
      <w:r w:rsidDel="00000000" w:rsidR="00000000" w:rsidRPr="00000000">
        <w:rPr>
          <w:rFonts w:ascii="Arial" w:cs="Arial" w:eastAsia="Arial" w:hAnsi="Arial"/>
          <w:sz w:val="24"/>
          <w:szCs w:val="24"/>
          <w:rtl w:val="0"/>
        </w:rPr>
        <w:t xml:space="preserve"> Madrid: Akal.</w:t>
      </w:r>
    </w:p>
    <w:p w:rsidR="00000000" w:rsidDel="00000000" w:rsidP="00000000" w:rsidRDefault="00000000" w:rsidRPr="00000000" w14:paraId="000000AA">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López, J. F. (22 de enero de 2020). </w:t>
      </w:r>
      <w:r w:rsidDel="00000000" w:rsidR="00000000" w:rsidRPr="00000000">
        <w:rPr>
          <w:rFonts w:ascii="Arial" w:cs="Arial" w:eastAsia="Arial" w:hAnsi="Arial"/>
          <w:i w:val="1"/>
          <w:sz w:val="24"/>
          <w:szCs w:val="24"/>
          <w:rtl w:val="0"/>
        </w:rPr>
        <w:t xml:space="preserve">"BlackRock, Vanguard y State Street poseen el 20% del Dow Jones".</w:t>
      </w:r>
      <w:r w:rsidDel="00000000" w:rsidR="00000000" w:rsidRPr="00000000">
        <w:rPr>
          <w:rFonts w:ascii="Arial" w:cs="Arial" w:eastAsia="Arial" w:hAnsi="Arial"/>
          <w:sz w:val="24"/>
          <w:szCs w:val="24"/>
          <w:rtl w:val="0"/>
        </w:rPr>
        <w:t xml:space="preserve"> Obtenido de Economipedia: https://economipedia.com/mercado/blackrock-vanguard-y-state-street-poseen-el-20-del-dow-jones.html</w:t>
      </w:r>
    </w:p>
    <w:p w:rsidR="00000000" w:rsidDel="00000000" w:rsidP="00000000" w:rsidRDefault="00000000" w:rsidRPr="00000000" w14:paraId="000000AB">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Martínez-Ferro, H. </w:t>
      </w:r>
      <w:r w:rsidDel="00000000" w:rsidR="00000000" w:rsidRPr="00000000">
        <w:rPr>
          <w:rFonts w:ascii="Arial" w:cs="Arial" w:eastAsia="Arial" w:hAnsi="Arial"/>
          <w:i w:val="1"/>
          <w:sz w:val="24"/>
          <w:szCs w:val="24"/>
          <w:rtl w:val="0"/>
        </w:rPr>
        <w:t xml:space="preserve">Legitimidad, dominación y derecho en la teoría sociológica del Estado de Max Weber</w:t>
      </w:r>
      <w:r w:rsidDel="00000000" w:rsidR="00000000" w:rsidRPr="00000000">
        <w:rPr>
          <w:rFonts w:ascii="Arial" w:cs="Arial" w:eastAsia="Arial" w:hAnsi="Arial"/>
          <w:sz w:val="24"/>
          <w:szCs w:val="24"/>
          <w:rtl w:val="0"/>
        </w:rPr>
        <w:t xml:space="preserve">. Obtenido de Scielo: http://www.scielo.org.co/scielo.php?script=sci_arttext&amp;pid=S0124-05792010000100018</w:t>
      </w:r>
    </w:p>
    <w:p w:rsidR="00000000" w:rsidDel="00000000" w:rsidP="00000000" w:rsidRDefault="00000000" w:rsidRPr="00000000" w14:paraId="000000AC">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Marx, K. (2000). </w:t>
      </w:r>
      <w:r w:rsidDel="00000000" w:rsidR="00000000" w:rsidRPr="00000000">
        <w:rPr>
          <w:rFonts w:ascii="Arial" w:cs="Arial" w:eastAsia="Arial" w:hAnsi="Arial"/>
          <w:i w:val="1"/>
          <w:sz w:val="24"/>
          <w:szCs w:val="24"/>
          <w:rtl w:val="0"/>
        </w:rPr>
        <w:t xml:space="preserve">El Capital, Tomos I, II y III.</w:t>
      </w:r>
      <w:r w:rsidDel="00000000" w:rsidR="00000000" w:rsidRPr="00000000">
        <w:rPr>
          <w:rFonts w:ascii="Arial" w:cs="Arial" w:eastAsia="Arial" w:hAnsi="Arial"/>
          <w:sz w:val="24"/>
          <w:szCs w:val="24"/>
          <w:rtl w:val="0"/>
        </w:rPr>
        <w:t xml:space="preserve"> Ciudad de México: Fondo de Cultura Económica.</w:t>
      </w:r>
    </w:p>
    <w:p w:rsidR="00000000" w:rsidDel="00000000" w:rsidP="00000000" w:rsidRDefault="00000000" w:rsidRPr="00000000" w14:paraId="000000AD">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Marx, K. (2006). </w:t>
      </w:r>
      <w:r w:rsidDel="00000000" w:rsidR="00000000" w:rsidRPr="00000000">
        <w:rPr>
          <w:rFonts w:ascii="Arial" w:cs="Arial" w:eastAsia="Arial" w:hAnsi="Arial"/>
          <w:i w:val="1"/>
          <w:sz w:val="24"/>
          <w:szCs w:val="24"/>
          <w:rtl w:val="0"/>
        </w:rPr>
        <w:t xml:space="preserve">La lucha de clases en Francia de 1848 a 1850.</w:t>
      </w:r>
      <w:r w:rsidDel="00000000" w:rsidR="00000000" w:rsidRPr="00000000">
        <w:rPr>
          <w:rFonts w:ascii="Arial" w:cs="Arial" w:eastAsia="Arial" w:hAnsi="Arial"/>
          <w:sz w:val="24"/>
          <w:szCs w:val="24"/>
          <w:rtl w:val="0"/>
        </w:rPr>
        <w:t xml:space="preserve"> Buenos Aires: Prometeo.</w:t>
      </w:r>
    </w:p>
    <w:p w:rsidR="00000000" w:rsidDel="00000000" w:rsidP="00000000" w:rsidRDefault="00000000" w:rsidRPr="00000000" w14:paraId="000000AE">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Marx, K. (2021). </w:t>
      </w:r>
      <w:r w:rsidDel="00000000" w:rsidR="00000000" w:rsidRPr="00000000">
        <w:rPr>
          <w:rFonts w:ascii="Arial" w:cs="Arial" w:eastAsia="Arial" w:hAnsi="Arial"/>
          <w:i w:val="1"/>
          <w:sz w:val="24"/>
          <w:szCs w:val="24"/>
          <w:rtl w:val="0"/>
        </w:rPr>
        <w:t xml:space="preserve">Contribución a la crítica de Economía Política.</w:t>
      </w:r>
      <w:r w:rsidDel="00000000" w:rsidR="00000000" w:rsidRPr="00000000">
        <w:rPr>
          <w:rFonts w:ascii="Arial" w:cs="Arial" w:eastAsia="Arial" w:hAnsi="Arial"/>
          <w:sz w:val="24"/>
          <w:szCs w:val="24"/>
          <w:rtl w:val="0"/>
        </w:rPr>
        <w:t xml:space="preserve"> Buenos Aires: Siglo XXI.</w:t>
      </w:r>
    </w:p>
    <w:p w:rsidR="00000000" w:rsidDel="00000000" w:rsidP="00000000" w:rsidRDefault="00000000" w:rsidRPr="00000000" w14:paraId="000000AF">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Mas de Xaxás, X. (6 de mayo de 2018). </w:t>
      </w:r>
      <w:r w:rsidDel="00000000" w:rsidR="00000000" w:rsidRPr="00000000">
        <w:rPr>
          <w:rFonts w:ascii="Arial" w:cs="Arial" w:eastAsia="Arial" w:hAnsi="Arial"/>
          <w:i w:val="1"/>
          <w:sz w:val="24"/>
          <w:szCs w:val="24"/>
          <w:rtl w:val="0"/>
        </w:rPr>
        <w:t xml:space="preserve">Por qué BlackRock domina el presente y el futuro del mundo.</w:t>
      </w:r>
      <w:r w:rsidDel="00000000" w:rsidR="00000000" w:rsidRPr="00000000">
        <w:rPr>
          <w:rFonts w:ascii="Arial" w:cs="Arial" w:eastAsia="Arial" w:hAnsi="Arial"/>
          <w:sz w:val="24"/>
          <w:szCs w:val="24"/>
          <w:rtl w:val="0"/>
        </w:rPr>
        <w:t xml:space="preserve"> Obtenido de La Vanguardia: https://www.lavanguardia.com/economia/20180506/443279727124/blackrock-investigacion-primera-gestora-fondos.html</w:t>
      </w:r>
    </w:p>
    <w:p w:rsidR="00000000" w:rsidDel="00000000" w:rsidP="00000000" w:rsidRDefault="00000000" w:rsidRPr="00000000" w14:paraId="000000B0">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Observatorio de Salud, Medicamentos y Sociedad, COFA. (14 de mayo de 2021). </w:t>
      </w:r>
      <w:r w:rsidDel="00000000" w:rsidR="00000000" w:rsidRPr="00000000">
        <w:rPr>
          <w:rFonts w:ascii="Arial" w:cs="Arial" w:eastAsia="Arial" w:hAnsi="Arial"/>
          <w:i w:val="1"/>
          <w:sz w:val="24"/>
          <w:szCs w:val="24"/>
          <w:rtl w:val="0"/>
        </w:rPr>
        <w:t xml:space="preserve">Evolución de las dispensas de fármacos del sistema nervioso – Actualización 2020.</w:t>
      </w:r>
      <w:r w:rsidDel="00000000" w:rsidR="00000000" w:rsidRPr="00000000">
        <w:rPr>
          <w:rFonts w:ascii="Arial" w:cs="Arial" w:eastAsia="Arial" w:hAnsi="Arial"/>
          <w:sz w:val="24"/>
          <w:szCs w:val="24"/>
          <w:rtl w:val="0"/>
        </w:rPr>
        <w:t xml:space="preserve"> Obtenido de http://observatorio.cofa.org.ar/index.php/category/sin-categoria/page/6</w:t>
      </w:r>
    </w:p>
    <w:p w:rsidR="00000000" w:rsidDel="00000000" w:rsidP="00000000" w:rsidRDefault="00000000" w:rsidRPr="00000000" w14:paraId="000000B1">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Organización Internacional del Trabajo - OIT. (2022). </w:t>
      </w:r>
      <w:r w:rsidDel="00000000" w:rsidR="00000000" w:rsidRPr="00000000">
        <w:rPr>
          <w:rFonts w:ascii="Arial" w:cs="Arial" w:eastAsia="Arial" w:hAnsi="Arial"/>
          <w:i w:val="1"/>
          <w:sz w:val="24"/>
          <w:szCs w:val="24"/>
          <w:rtl w:val="0"/>
        </w:rPr>
        <w:t xml:space="preserve">Tendencias 2022: Perspectivas Sociales y del Empleo en el Mundo.</w:t>
      </w:r>
      <w:r w:rsidDel="00000000" w:rsidR="00000000" w:rsidRPr="00000000">
        <w:rPr>
          <w:rFonts w:ascii="Arial" w:cs="Arial" w:eastAsia="Arial" w:hAnsi="Arial"/>
          <w:sz w:val="24"/>
          <w:szCs w:val="24"/>
          <w:rtl w:val="0"/>
        </w:rPr>
        <w:t xml:space="preserve"> Ginebra: OIT.</w:t>
      </w:r>
    </w:p>
    <w:p w:rsidR="00000000" w:rsidDel="00000000" w:rsidP="00000000" w:rsidRDefault="00000000" w:rsidRPr="00000000" w14:paraId="000000B2">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Oxfam Internacional. (2022). </w:t>
      </w:r>
      <w:r w:rsidDel="00000000" w:rsidR="00000000" w:rsidRPr="00000000">
        <w:rPr>
          <w:rFonts w:ascii="Arial" w:cs="Arial" w:eastAsia="Arial" w:hAnsi="Arial"/>
          <w:i w:val="1"/>
          <w:sz w:val="24"/>
          <w:szCs w:val="24"/>
          <w:rtl w:val="0"/>
        </w:rPr>
        <w:t xml:space="preserve">Las desigualdades matan.</w:t>
      </w:r>
      <w:r w:rsidDel="00000000" w:rsidR="00000000" w:rsidRPr="00000000">
        <w:rPr>
          <w:rFonts w:ascii="Arial" w:cs="Arial" w:eastAsia="Arial" w:hAnsi="Arial"/>
          <w:sz w:val="24"/>
          <w:szCs w:val="24"/>
          <w:rtl w:val="0"/>
        </w:rPr>
        <w:t xml:space="preserve"> Oxford: Oxfam Library.</w:t>
      </w:r>
    </w:p>
    <w:p w:rsidR="00000000" w:rsidDel="00000000" w:rsidP="00000000" w:rsidRDefault="00000000" w:rsidRPr="00000000" w14:paraId="000000B3">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Página/12. (13 de abril de 2022). </w:t>
      </w:r>
      <w:r w:rsidDel="00000000" w:rsidR="00000000" w:rsidRPr="00000000">
        <w:rPr>
          <w:rFonts w:ascii="Arial" w:cs="Arial" w:eastAsia="Arial" w:hAnsi="Arial"/>
          <w:i w:val="1"/>
          <w:sz w:val="24"/>
          <w:szCs w:val="24"/>
          <w:rtl w:val="0"/>
        </w:rPr>
        <w:t xml:space="preserve">Mayor pobreza y desigualdad en el mundo.</w:t>
      </w:r>
      <w:r w:rsidDel="00000000" w:rsidR="00000000" w:rsidRPr="00000000">
        <w:rPr>
          <w:rFonts w:ascii="Arial" w:cs="Arial" w:eastAsia="Arial" w:hAnsi="Arial"/>
          <w:sz w:val="24"/>
          <w:szCs w:val="24"/>
          <w:rtl w:val="0"/>
        </w:rPr>
        <w:t xml:space="preserve"> Obtenido de Página/12: https://www.pagina12.com.ar/414928-mayor-pobreza-y-desigualdad-en-el-mundo</w:t>
      </w:r>
    </w:p>
    <w:p w:rsidR="00000000" w:rsidDel="00000000" w:rsidP="00000000" w:rsidRDefault="00000000" w:rsidRPr="00000000" w14:paraId="000000B4">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Paz Landeira, F. (mayo de 2018). </w:t>
      </w:r>
      <w:r w:rsidDel="00000000" w:rsidR="00000000" w:rsidRPr="00000000">
        <w:rPr>
          <w:rFonts w:ascii="Arial" w:cs="Arial" w:eastAsia="Arial" w:hAnsi="Arial"/>
          <w:i w:val="1"/>
          <w:sz w:val="24"/>
          <w:szCs w:val="24"/>
          <w:rtl w:val="0"/>
        </w:rPr>
        <w:t xml:space="preserve">"Controlados".</w:t>
      </w:r>
      <w:r w:rsidDel="00000000" w:rsidR="00000000" w:rsidRPr="00000000">
        <w:rPr>
          <w:rFonts w:ascii="Arial" w:cs="Arial" w:eastAsia="Arial" w:hAnsi="Arial"/>
          <w:sz w:val="24"/>
          <w:szCs w:val="24"/>
          <w:rtl w:val="0"/>
        </w:rPr>
        <w:t xml:space="preserve"> Obtenido de Revista MU, N° 123: https://www.lavaca.org/wp-content/uploads/2018/05/mu123.pdf</w:t>
      </w:r>
    </w:p>
    <w:p w:rsidR="00000000" w:rsidDel="00000000" w:rsidP="00000000" w:rsidRDefault="00000000" w:rsidRPr="00000000" w14:paraId="000000B5">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Phillips, P. (2019). </w:t>
      </w:r>
      <w:r w:rsidDel="00000000" w:rsidR="00000000" w:rsidRPr="00000000">
        <w:rPr>
          <w:rFonts w:ascii="Arial" w:cs="Arial" w:eastAsia="Arial" w:hAnsi="Arial"/>
          <w:i w:val="1"/>
          <w:sz w:val="24"/>
          <w:szCs w:val="24"/>
          <w:rtl w:val="0"/>
        </w:rPr>
        <w:t xml:space="preserve">Megacapitalistas. La elite que domina el dinero y el mundo.</w:t>
      </w:r>
      <w:r w:rsidDel="00000000" w:rsidR="00000000" w:rsidRPr="00000000">
        <w:rPr>
          <w:rFonts w:ascii="Arial" w:cs="Arial" w:eastAsia="Arial" w:hAnsi="Arial"/>
          <w:sz w:val="24"/>
          <w:szCs w:val="24"/>
          <w:rtl w:val="0"/>
        </w:rPr>
        <w:t xml:space="preserve"> Buenos Aires: Roca Editorial.</w:t>
      </w:r>
    </w:p>
    <w:p w:rsidR="00000000" w:rsidDel="00000000" w:rsidP="00000000" w:rsidRDefault="00000000" w:rsidRPr="00000000" w14:paraId="000000B6">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Robinson, W. (2007). </w:t>
      </w:r>
      <w:r w:rsidDel="00000000" w:rsidR="00000000" w:rsidRPr="00000000">
        <w:rPr>
          <w:rFonts w:ascii="Arial" w:cs="Arial" w:eastAsia="Arial" w:hAnsi="Arial"/>
          <w:i w:val="1"/>
          <w:sz w:val="24"/>
          <w:szCs w:val="24"/>
          <w:rtl w:val="0"/>
        </w:rPr>
        <w:t xml:space="preserve">Una teoría sobre el capitalismo global.</w:t>
      </w:r>
      <w:r w:rsidDel="00000000" w:rsidR="00000000" w:rsidRPr="00000000">
        <w:rPr>
          <w:rFonts w:ascii="Arial" w:cs="Arial" w:eastAsia="Arial" w:hAnsi="Arial"/>
          <w:sz w:val="24"/>
          <w:szCs w:val="24"/>
          <w:rtl w:val="0"/>
        </w:rPr>
        <w:t xml:space="preserve"> Bogotá: Desde Abajo.</w:t>
      </w:r>
    </w:p>
    <w:p w:rsidR="00000000" w:rsidDel="00000000" w:rsidP="00000000" w:rsidRDefault="00000000" w:rsidRPr="00000000" w14:paraId="000000B7">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Robinson, W., &amp; Sprague, J. (2018). </w:t>
      </w:r>
      <w:r w:rsidDel="00000000" w:rsidR="00000000" w:rsidRPr="00000000">
        <w:rPr>
          <w:rFonts w:ascii="Arial" w:cs="Arial" w:eastAsia="Arial" w:hAnsi="Arial"/>
          <w:i w:val="1"/>
          <w:sz w:val="24"/>
          <w:szCs w:val="24"/>
          <w:rtl w:val="0"/>
        </w:rPr>
        <w:t xml:space="preserve">The Transnational Capitalist Class.</w:t>
      </w:r>
      <w:r w:rsidDel="00000000" w:rsidR="00000000" w:rsidRPr="00000000">
        <w:rPr>
          <w:rFonts w:ascii="Arial" w:cs="Arial" w:eastAsia="Arial" w:hAnsi="Arial"/>
          <w:sz w:val="24"/>
          <w:szCs w:val="24"/>
          <w:rtl w:val="0"/>
        </w:rPr>
        <w:t xml:space="preserve"> Estados Unidos: UCLA.</w:t>
      </w:r>
    </w:p>
    <w:p w:rsidR="00000000" w:rsidDel="00000000" w:rsidP="00000000" w:rsidRDefault="00000000" w:rsidRPr="00000000" w14:paraId="000000B8">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Schwab, K. (2016). </w:t>
      </w:r>
      <w:r w:rsidDel="00000000" w:rsidR="00000000" w:rsidRPr="00000000">
        <w:rPr>
          <w:rFonts w:ascii="Arial" w:cs="Arial" w:eastAsia="Arial" w:hAnsi="Arial"/>
          <w:i w:val="1"/>
          <w:sz w:val="24"/>
          <w:szCs w:val="24"/>
          <w:rtl w:val="0"/>
        </w:rPr>
        <w:t xml:space="preserve">La cuarta revolución industrial.</w:t>
      </w:r>
      <w:r w:rsidDel="00000000" w:rsidR="00000000" w:rsidRPr="00000000">
        <w:rPr>
          <w:rFonts w:ascii="Arial" w:cs="Arial" w:eastAsia="Arial" w:hAnsi="Arial"/>
          <w:sz w:val="24"/>
          <w:szCs w:val="24"/>
          <w:rtl w:val="0"/>
        </w:rPr>
        <w:t xml:space="preserve"> Buenos Aires: Debate.</w:t>
      </w:r>
    </w:p>
    <w:p w:rsidR="00000000" w:rsidDel="00000000" w:rsidP="00000000" w:rsidRDefault="00000000" w:rsidRPr="00000000" w14:paraId="000000B9">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Vitali, S., Glattfelder, J., &amp; Battiston, S. (2011). </w:t>
      </w:r>
      <w:r w:rsidDel="00000000" w:rsidR="00000000" w:rsidRPr="00000000">
        <w:rPr>
          <w:rFonts w:ascii="Arial" w:cs="Arial" w:eastAsia="Arial" w:hAnsi="Arial"/>
          <w:i w:val="1"/>
          <w:sz w:val="24"/>
          <w:szCs w:val="24"/>
          <w:rtl w:val="0"/>
        </w:rPr>
        <w:t xml:space="preserve">"The Network of Global Corporate Control".</w:t>
      </w:r>
      <w:r w:rsidDel="00000000" w:rsidR="00000000" w:rsidRPr="00000000">
        <w:rPr>
          <w:rFonts w:ascii="Arial" w:cs="Arial" w:eastAsia="Arial" w:hAnsi="Arial"/>
          <w:sz w:val="24"/>
          <w:szCs w:val="24"/>
          <w:rtl w:val="0"/>
        </w:rPr>
        <w:t xml:space="preserve"> Obtenido de Scribd: https://es.scribd.com/doc/70706980/The-Network-of-Global-Corporate-Control-by-Stefania-Vitali-James-B-Glattfelder-and-Stefano-Battiston-2011</w:t>
      </w:r>
    </w:p>
    <w:p w:rsidR="00000000" w:rsidDel="00000000" w:rsidP="00000000" w:rsidRDefault="00000000" w:rsidRPr="00000000" w14:paraId="000000BA">
      <w:pPr>
        <w:spacing w:after="240" w:before="240" w:line="276" w:lineRule="auto"/>
        <w:ind w:left="144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Zuboff, S. (2019). </w:t>
      </w:r>
      <w:r w:rsidDel="00000000" w:rsidR="00000000" w:rsidRPr="00000000">
        <w:rPr>
          <w:rFonts w:ascii="Arial" w:cs="Arial" w:eastAsia="Arial" w:hAnsi="Arial"/>
          <w:i w:val="1"/>
          <w:sz w:val="24"/>
          <w:szCs w:val="24"/>
          <w:rtl w:val="0"/>
        </w:rPr>
        <w:t xml:space="preserve">La era del Capitalismo de la Vigilancia .</w:t>
      </w:r>
      <w:r w:rsidDel="00000000" w:rsidR="00000000" w:rsidRPr="00000000">
        <w:rPr>
          <w:rFonts w:ascii="Arial" w:cs="Arial" w:eastAsia="Arial" w:hAnsi="Arial"/>
          <w:sz w:val="24"/>
          <w:szCs w:val="24"/>
          <w:rtl w:val="0"/>
        </w:rPr>
        <w:t xml:space="preserve"> Buenos Aires: Paidós. </w:t>
      </w:r>
    </w:p>
    <w:sectPr>
      <w:pgSz w:h="16838" w:w="11906" w:orient="portrait"/>
      <w:pgMar w:bottom="1417" w:top="1417" w:left="1418" w:right="1416"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El ranking de entidades financieras que elabora Phillips, sobre datos económicos de 2017, marca que sólo hay diecisiete corporaciones que gestionan más de un billón de dólares. Según el autor, estos son: BlackRock (5,4 billones), Vanguard Group (4,4), JP Morgan Chase (3,8), Allianz SE (3,3), UBS (2,8), BofA Merrill Lynch (2,5), Barclays PLC (2,5), State Street Global Advirsors (2,4), Fidelity Investments (2,1), Bank of New York Mellon (1,7), AXA Group (1,5), Capital Group (1,4), Goldman Sachs Group (1,4), Credit Suisse (1,3), Prudential Financial (1,3), Morgan Stanley &amp; Co (1,3), Amundi/Crédit Agricole (1,1) (Phillips, 2019).</w:t>
      </w:r>
    </w:p>
  </w:footnote>
  <w:footnote w:id="1">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“Las mujeres, que han sufrido las peores consecuencias económicas de la pandemia, han perdido colectivamente 800 000 millones de dólares en ingresos en 2020. Mientras el empleo masculino se recupera rápidamente, las previsiones indican que, en 2021, hay 13 millones menos de mujeres empleadas que en 2019; en América Latina, por ejemplo, la tasa de ocupación de las mujeres se ha reducido en un 9,4%. Es posible que más de 20 millones de niñas no vuelvan a retomar su educación; mientras, las mujeres y las niñas han asumido el considerable aumento del volumen de trabajo de cuidados no remunerado que, según las estimaciones, ya ascendía a 12.500 horas diarias antes de la pandemia. Las trabajadoras del sector informal se encuentran entre las más afectadas a nivel económico, y se enfrentan a una “triple crisis”: la COVID-19, el incremento del trabajo de cuidados no remunerado, y la inseguridad y precariedad del trabajo remunerado. Todo ello contribuye a sumirlas aún más en la pobreza” (Oxfam Internacional, 2022).</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hyperlink" Target="https://www.telam.com.ar/notas/202204/589285-260-millones-nuevos-pobres-2022-oxfam.html" TargetMode="Externa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